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362" w:tblpY="613"/>
        <w:tblW w:w="9639" w:type="dxa"/>
        <w:tblLayout w:type="fixed"/>
        <w:tblCellMar>
          <w:left w:w="0" w:type="dxa"/>
          <w:right w:w="0" w:type="dxa"/>
        </w:tblCellMar>
        <w:tblLook w:val="0000" w:firstRow="0" w:lastRow="0" w:firstColumn="0" w:lastColumn="0" w:noHBand="0" w:noVBand="0"/>
      </w:tblPr>
      <w:tblGrid>
        <w:gridCol w:w="5103"/>
        <w:gridCol w:w="624"/>
        <w:gridCol w:w="3912"/>
      </w:tblGrid>
      <w:tr w:rsidR="000B5CAC" w:rsidTr="00D26537">
        <w:trPr>
          <w:trHeight w:hRule="exact" w:val="565"/>
        </w:trPr>
        <w:tc>
          <w:tcPr>
            <w:tcW w:w="5103" w:type="dxa"/>
            <w:vAlign w:val="bottom"/>
          </w:tcPr>
          <w:p w:rsidR="000B5CAC" w:rsidRDefault="001F1523" w:rsidP="00195D63">
            <w:pPr>
              <w:pStyle w:val="Kopfzeile"/>
              <w:tabs>
                <w:tab w:val="clear" w:pos="4536"/>
                <w:tab w:val="clear" w:pos="9072"/>
              </w:tabs>
              <w:rPr>
                <w:rFonts w:ascii="NDSFrutiger 45 Light" w:hAnsi="NDSFrutiger 45 Light"/>
              </w:rPr>
            </w:pPr>
            <w:r>
              <w:rPr>
                <w:rFonts w:ascii="NDSFrutiger 45 Light" w:hAnsi="NDSFrutiger 45 Light"/>
                <w:noProof/>
                <w:sz w:val="14"/>
                <w:szCs w:val="14"/>
              </w:rPr>
              <w:drawing>
                <wp:anchor distT="0" distB="0" distL="114300" distR="114300" simplePos="0" relativeHeight="251662336" behindDoc="0" locked="0" layoutInCell="1" allowOverlap="1" wp14:anchorId="2AD09382" wp14:editId="1EB7BE3E">
                  <wp:simplePos x="0" y="0"/>
                  <wp:positionH relativeFrom="column">
                    <wp:posOffset>-635</wp:posOffset>
                  </wp:positionH>
                  <wp:positionV relativeFrom="paragraph">
                    <wp:posOffset>234315</wp:posOffset>
                  </wp:positionV>
                  <wp:extent cx="1083600" cy="532800"/>
                  <wp:effectExtent l="0" t="0" r="254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N_CMYK_Briefbogen.jpg"/>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083600" cy="532800"/>
                          </a:xfrm>
                          <a:prstGeom prst="rect">
                            <a:avLst/>
                          </a:prstGeom>
                        </pic:spPr>
                      </pic:pic>
                    </a:graphicData>
                  </a:graphic>
                  <wp14:sizeRelH relativeFrom="margin">
                    <wp14:pctWidth>0</wp14:pctWidth>
                  </wp14:sizeRelH>
                  <wp14:sizeRelV relativeFrom="margin">
                    <wp14:pctHeight>0</wp14:pctHeight>
                  </wp14:sizeRelV>
                </wp:anchor>
              </w:drawing>
            </w:r>
          </w:p>
        </w:tc>
        <w:tc>
          <w:tcPr>
            <w:tcW w:w="624" w:type="dxa"/>
            <w:vAlign w:val="bottom"/>
          </w:tcPr>
          <w:p w:rsidR="000B5CAC" w:rsidRDefault="000B5CAC" w:rsidP="00195D63">
            <w:pPr>
              <w:pStyle w:val="Kopfzeile"/>
              <w:tabs>
                <w:tab w:val="clear" w:pos="4536"/>
              </w:tabs>
              <w:rPr>
                <w:rFonts w:ascii="NDSFrutiger 45 Light" w:hAnsi="NDSFrutiger 45 Light"/>
              </w:rPr>
            </w:pPr>
          </w:p>
        </w:tc>
        <w:tc>
          <w:tcPr>
            <w:tcW w:w="3912" w:type="dxa"/>
            <w:vMerge w:val="restart"/>
          </w:tcPr>
          <w:p w:rsidR="000B5CAC" w:rsidRPr="00DF108D" w:rsidRDefault="004C118B" w:rsidP="00195D63">
            <w:pPr>
              <w:pStyle w:val="Kopfzeile"/>
              <w:tabs>
                <w:tab w:val="left" w:pos="1338"/>
              </w:tabs>
              <w:spacing w:before="20" w:after="160"/>
              <w:rPr>
                <w:rFonts w:ascii="NDSFrutiger 45 Light" w:hAnsi="NDSFrutiger 45 Light"/>
                <w:b/>
                <w:bCs/>
                <w:sz w:val="16"/>
              </w:rPr>
            </w:pPr>
            <w:r w:rsidRPr="00DF108D">
              <w:rPr>
                <w:rFonts w:ascii="NDSFrutiger 45 Light" w:hAnsi="NDSFrutiger 45 Light"/>
                <w:b/>
                <w:bCs/>
                <w:noProof/>
                <w:sz w:val="16"/>
              </w:rPr>
              <w:drawing>
                <wp:anchor distT="0" distB="0" distL="114300" distR="114300" simplePos="0" relativeHeight="251664384" behindDoc="0" locked="0" layoutInCell="1" allowOverlap="1" wp14:anchorId="5C081C4D" wp14:editId="3E32A970">
                  <wp:simplePos x="0" y="0"/>
                  <wp:positionH relativeFrom="column">
                    <wp:posOffset>-3175</wp:posOffset>
                  </wp:positionH>
                  <wp:positionV relativeFrom="paragraph">
                    <wp:posOffset>3810</wp:posOffset>
                  </wp:positionV>
                  <wp:extent cx="1317600" cy="741600"/>
                  <wp:effectExtent l="0" t="0" r="0" b="1905"/>
                  <wp:wrapNone/>
                  <wp:docPr id="2" name="Grafik 2" descr="LSN Wappe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N Wappen CMYK"/>
                          <pic:cNvPicPr>
                            <a:picLocks noChangeAspect="1" noChangeArrowheads="1"/>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317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B5CAC" w:rsidTr="00D26537">
        <w:trPr>
          <w:trHeight w:hRule="exact" w:val="879"/>
        </w:trPr>
        <w:tc>
          <w:tcPr>
            <w:tcW w:w="5103" w:type="dxa"/>
            <w:vAlign w:val="bottom"/>
          </w:tcPr>
          <w:p w:rsidR="000B5CAC" w:rsidRPr="006A45CF" w:rsidRDefault="000B5CAC" w:rsidP="00195D63">
            <w:pPr>
              <w:pStyle w:val="Kopfzeile"/>
              <w:tabs>
                <w:tab w:val="clear" w:pos="4536"/>
                <w:tab w:val="clear" w:pos="9072"/>
              </w:tabs>
              <w:rPr>
                <w:rFonts w:ascii="NDSFrutiger 45 Light" w:hAnsi="NDSFrutiger 45 Light"/>
                <w:sz w:val="14"/>
                <w:szCs w:val="14"/>
              </w:rPr>
            </w:pPr>
          </w:p>
        </w:tc>
        <w:tc>
          <w:tcPr>
            <w:tcW w:w="624" w:type="dxa"/>
            <w:vAlign w:val="bottom"/>
          </w:tcPr>
          <w:p w:rsidR="000B5CAC" w:rsidRDefault="000B5CAC" w:rsidP="00195D63">
            <w:pPr>
              <w:pStyle w:val="Kopfzeile"/>
              <w:tabs>
                <w:tab w:val="clear" w:pos="4536"/>
              </w:tabs>
              <w:rPr>
                <w:rFonts w:ascii="NDSFrutiger 45 Light" w:hAnsi="NDSFrutiger 45 Light"/>
              </w:rPr>
            </w:pPr>
          </w:p>
        </w:tc>
        <w:tc>
          <w:tcPr>
            <w:tcW w:w="3912" w:type="dxa"/>
            <w:vMerge/>
            <w:vAlign w:val="bottom"/>
          </w:tcPr>
          <w:p w:rsidR="000B5CAC" w:rsidRDefault="000B5CAC" w:rsidP="00195D63">
            <w:pPr>
              <w:pStyle w:val="Kopfzeile"/>
              <w:tabs>
                <w:tab w:val="clear" w:pos="4536"/>
                <w:tab w:val="left" w:pos="1021"/>
              </w:tabs>
              <w:rPr>
                <w:rFonts w:ascii="NDSFrutiger 45 Light" w:hAnsi="NDSFrutiger 45 Light"/>
                <w:sz w:val="20"/>
              </w:rPr>
            </w:pPr>
          </w:p>
        </w:tc>
      </w:tr>
      <w:tr w:rsidR="003A25A4" w:rsidTr="00D26537">
        <w:trPr>
          <w:trHeight w:hRule="exact" w:val="687"/>
        </w:trPr>
        <w:tc>
          <w:tcPr>
            <w:tcW w:w="5103" w:type="dxa"/>
            <w:shd w:val="clear" w:color="auto" w:fill="auto"/>
            <w:vAlign w:val="bottom"/>
          </w:tcPr>
          <w:p w:rsidR="003A25A4" w:rsidRPr="00FD6C81" w:rsidRDefault="008124BE" w:rsidP="00195D63">
            <w:pPr>
              <w:pStyle w:val="Kopfzeile"/>
              <w:tabs>
                <w:tab w:val="clear" w:pos="4536"/>
                <w:tab w:val="clear" w:pos="9072"/>
              </w:tabs>
              <w:rPr>
                <w:rFonts w:ascii="NDSFrutiger 45 Light" w:hAnsi="NDSFrutiger 45 Light"/>
                <w:sz w:val="20"/>
                <w:szCs w:val="20"/>
              </w:rPr>
            </w:pPr>
            <w:r w:rsidRPr="006A45CF">
              <w:rPr>
                <w:rFonts w:ascii="NDSFrutiger 45 Light" w:hAnsi="NDSFrutiger 45 Light"/>
                <w:sz w:val="14"/>
                <w:szCs w:val="14"/>
              </w:rPr>
              <w:t>Landesamt für Statistik N</w:t>
            </w:r>
            <w:r>
              <w:rPr>
                <w:rFonts w:ascii="NDSFrutiger 45 Light" w:hAnsi="NDSFrutiger 45 Light"/>
                <w:sz w:val="14"/>
                <w:szCs w:val="14"/>
              </w:rPr>
              <w:t>ds.</w:t>
            </w:r>
            <w:r w:rsidRPr="006A45CF">
              <w:rPr>
                <w:rFonts w:ascii="NDSFrutiger 45 Light" w:hAnsi="NDSFrutiger 45 Light"/>
                <w:sz w:val="14"/>
                <w:szCs w:val="14"/>
              </w:rPr>
              <w:t xml:space="preserve"> • Postfach 91 07 64 • 30427 Hannover</w:t>
            </w:r>
          </w:p>
        </w:tc>
        <w:tc>
          <w:tcPr>
            <w:tcW w:w="624" w:type="dxa"/>
            <w:vAlign w:val="bottom"/>
          </w:tcPr>
          <w:p w:rsidR="003A25A4" w:rsidRDefault="003A25A4" w:rsidP="00195D63">
            <w:pPr>
              <w:pStyle w:val="Kopfzeile"/>
              <w:tabs>
                <w:tab w:val="clear" w:pos="4536"/>
              </w:tabs>
              <w:rPr>
                <w:rFonts w:ascii="NDSFrutiger 45 Light" w:hAnsi="NDSFrutiger 45 Light"/>
              </w:rPr>
            </w:pPr>
          </w:p>
        </w:tc>
        <w:tc>
          <w:tcPr>
            <w:tcW w:w="3912" w:type="dxa"/>
            <w:vAlign w:val="bottom"/>
          </w:tcPr>
          <w:p w:rsidR="003A25A4" w:rsidRPr="00093DDD" w:rsidRDefault="003A25A4" w:rsidP="00195D63">
            <w:pPr>
              <w:pStyle w:val="Kopfzeile"/>
              <w:tabs>
                <w:tab w:val="clear" w:pos="4536"/>
                <w:tab w:val="left" w:pos="1021"/>
              </w:tabs>
              <w:rPr>
                <w:rFonts w:ascii="NDSFrutiger 45 Light" w:hAnsi="NDSFrutiger 45 Light"/>
                <w:b/>
                <w:sz w:val="16"/>
                <w:szCs w:val="16"/>
              </w:rPr>
            </w:pPr>
          </w:p>
        </w:tc>
      </w:tr>
    </w:tbl>
    <w:p w:rsidR="00D15EEB" w:rsidRDefault="00D15EEB">
      <w:pPr>
        <w:rPr>
          <w:rFonts w:ascii="NDSFrutiger 45 Light" w:hAnsi="NDSFrutiger 45 Light" w:cs="Arial"/>
          <w:sz w:val="20"/>
          <w:szCs w:val="20"/>
        </w:rPr>
        <w:sectPr w:rsidR="00D15EEB" w:rsidSect="00D26537">
          <w:headerReference w:type="even" r:id="rId10"/>
          <w:headerReference w:type="default" r:id="rId11"/>
          <w:footerReference w:type="even" r:id="rId12"/>
          <w:footerReference w:type="default" r:id="rId13"/>
          <w:headerReference w:type="first" r:id="rId14"/>
          <w:footerReference w:type="first" r:id="rId15"/>
          <w:pgSz w:w="11906" w:h="16838" w:code="9"/>
          <w:pgMar w:top="612" w:right="851" w:bottom="1134" w:left="1361" w:header="284" w:footer="1531" w:gutter="0"/>
          <w:cols w:space="708"/>
          <w:docGrid w:linePitch="360"/>
        </w:sectPr>
      </w:pPr>
    </w:p>
    <w:tbl>
      <w:tblPr>
        <w:tblpPr w:leftFromText="142" w:rightFromText="142" w:vertAnchor="text" w:horzAnchor="margin" w:tblpY="1"/>
        <w:tblW w:w="9639" w:type="dxa"/>
        <w:tblLayout w:type="fixed"/>
        <w:tblCellMar>
          <w:left w:w="0" w:type="dxa"/>
          <w:right w:w="0" w:type="dxa"/>
        </w:tblCellMar>
        <w:tblLook w:val="0000" w:firstRow="0" w:lastRow="0" w:firstColumn="0" w:lastColumn="0" w:noHBand="0" w:noVBand="0"/>
      </w:tblPr>
      <w:tblGrid>
        <w:gridCol w:w="5103"/>
        <w:gridCol w:w="624"/>
        <w:gridCol w:w="1021"/>
        <w:gridCol w:w="2891"/>
      </w:tblGrid>
      <w:tr w:rsidR="00E544DD" w:rsidTr="00D26537">
        <w:trPr>
          <w:trHeight w:hRule="exact" w:val="255"/>
        </w:trPr>
        <w:tc>
          <w:tcPr>
            <w:tcW w:w="5103" w:type="dxa"/>
            <w:vAlign w:val="bottom"/>
          </w:tcPr>
          <w:p w:rsidR="00E544DD" w:rsidRPr="00D26537" w:rsidRDefault="00D64F0B" w:rsidP="00261E52">
            <w:pPr>
              <w:pStyle w:val="Kopfzeile"/>
              <w:tabs>
                <w:tab w:val="clear" w:pos="4536"/>
                <w:tab w:val="clear" w:pos="9072"/>
              </w:tabs>
              <w:rPr>
                <w:rFonts w:cs="Arial"/>
                <w:sz w:val="20"/>
                <w:szCs w:val="20"/>
                <w:u w:val="single"/>
              </w:rPr>
            </w:pPr>
            <w:r>
              <w:rPr>
                <w:rFonts w:cs="Arial"/>
                <w:noProof/>
                <w:sz w:val="20"/>
                <w:szCs w:val="20"/>
                <w:u w:val="single"/>
              </w:rPr>
              <mc:AlternateContent>
                <mc:Choice Requires="wps">
                  <w:drawing>
                    <wp:anchor distT="0" distB="0" distL="114300" distR="114300" simplePos="0" relativeHeight="251665408" behindDoc="0" locked="0" layoutInCell="1" allowOverlap="1">
                      <wp:simplePos x="0" y="0"/>
                      <wp:positionH relativeFrom="column">
                        <wp:posOffset>-73660</wp:posOffset>
                      </wp:positionH>
                      <wp:positionV relativeFrom="paragraph">
                        <wp:posOffset>55245</wp:posOffset>
                      </wp:positionV>
                      <wp:extent cx="6115050" cy="1026160"/>
                      <wp:effectExtent l="0" t="0" r="0" b="2540"/>
                      <wp:wrapNone/>
                      <wp:docPr id="5" name="Textfeld 5"/>
                      <wp:cNvGraphicFramePr/>
                      <a:graphic xmlns:a="http://schemas.openxmlformats.org/drawingml/2006/main">
                        <a:graphicData uri="http://schemas.microsoft.com/office/word/2010/wordprocessingShape">
                          <wps:wsp>
                            <wps:cNvSpPr txBox="1"/>
                            <wps:spPr>
                              <a:xfrm>
                                <a:off x="0" y="0"/>
                                <a:ext cx="6115050" cy="1026160"/>
                              </a:xfrm>
                              <a:prstGeom prst="rect">
                                <a:avLst/>
                              </a:prstGeom>
                              <a:noFill/>
                              <a:ln w="6350">
                                <a:noFill/>
                              </a:ln>
                            </wps:spPr>
                            <wps:txbx>
                              <w:txbxContent>
                                <w:p w:rsidR="00374B77" w:rsidRDefault="00374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5.8pt;margin-top:4.35pt;width:481.5pt;height:8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" filled="f" stroked="f" strokeweight=".5pt">
                      <v:textbox>
                        <w:txbxContent>
                          <w:p w:rsidR="00374B77" w:rsidRDefault="00374B77"/>
                        </w:txbxContent>
                      </v:textbox>
                    </v:shape>
                  </w:pict>
                </mc:Fallback>
              </mc:AlternateContent>
            </w:r>
          </w:p>
        </w:tc>
        <w:tc>
          <w:tcPr>
            <w:tcW w:w="624" w:type="dxa"/>
            <w:vAlign w:val="bottom"/>
          </w:tcPr>
          <w:p w:rsidR="00E544DD" w:rsidRDefault="00E544DD" w:rsidP="00261E52">
            <w:pPr>
              <w:pStyle w:val="Kopfzeile"/>
              <w:tabs>
                <w:tab w:val="clear" w:pos="4536"/>
              </w:tabs>
              <w:rPr>
                <w:rFonts w:ascii="NDSFrutiger 45 Light" w:hAnsi="NDSFrutiger 45 Light"/>
              </w:rPr>
            </w:pPr>
          </w:p>
        </w:tc>
        <w:tc>
          <w:tcPr>
            <w:tcW w:w="3912" w:type="dxa"/>
            <w:gridSpan w:val="2"/>
            <w:vAlign w:val="bottom"/>
          </w:tcPr>
          <w:p w:rsidR="00E544DD" w:rsidRDefault="00E544DD" w:rsidP="00261E52">
            <w:pPr>
              <w:pStyle w:val="Kopfzeile"/>
              <w:tabs>
                <w:tab w:val="clear" w:pos="4536"/>
                <w:tab w:val="left" w:pos="1021"/>
              </w:tabs>
              <w:rPr>
                <w:rFonts w:ascii="NDSFrutiger 45 Light" w:hAnsi="NDSFrutiger 45 Light"/>
              </w:rPr>
            </w:pPr>
          </w:p>
        </w:tc>
      </w:tr>
      <w:tr w:rsidR="004C118B" w:rsidTr="00374B77">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rPr>
            </w:pPr>
          </w:p>
        </w:tc>
        <w:tc>
          <w:tcPr>
            <w:tcW w:w="624" w:type="dxa"/>
            <w:vAlign w:val="bottom"/>
          </w:tcPr>
          <w:p w:rsidR="004C118B" w:rsidRDefault="004C118B" w:rsidP="004C118B">
            <w:pPr>
              <w:pStyle w:val="Kopfzeile"/>
              <w:tabs>
                <w:tab w:val="clear" w:pos="4536"/>
              </w:tabs>
              <w:rPr>
                <w:rFonts w:ascii="NDSFrutiger 45 Light" w:hAnsi="NDSFrutiger 45 Light"/>
              </w:rPr>
            </w:pPr>
          </w:p>
        </w:tc>
        <w:tc>
          <w:tcPr>
            <w:tcW w:w="3912" w:type="dxa"/>
            <w:gridSpan w:val="2"/>
            <w:vAlign w:val="bottom"/>
          </w:tcPr>
          <w:p w:rsidR="004C118B" w:rsidRDefault="004C118B" w:rsidP="004C118B">
            <w:pPr>
              <w:pStyle w:val="Kopfzeile"/>
              <w:tabs>
                <w:tab w:val="clear" w:pos="4536"/>
                <w:tab w:val="left" w:pos="1021"/>
              </w:tabs>
              <w:rPr>
                <w:rFonts w:ascii="NDSFrutiger 45 Light" w:hAnsi="NDSFrutiger 45 Light"/>
                <w:sz w:val="16"/>
              </w:rPr>
            </w:pPr>
          </w:p>
        </w:tc>
      </w:tr>
      <w:tr w:rsidR="004C118B" w:rsidTr="00374B77">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rPr>
            </w:pPr>
          </w:p>
        </w:tc>
        <w:tc>
          <w:tcPr>
            <w:tcW w:w="624" w:type="dxa"/>
            <w:vAlign w:val="bottom"/>
          </w:tcPr>
          <w:p w:rsidR="004C118B" w:rsidRDefault="004C118B" w:rsidP="004C118B">
            <w:pPr>
              <w:pStyle w:val="Kopfzeile"/>
              <w:tabs>
                <w:tab w:val="clear" w:pos="4536"/>
              </w:tabs>
              <w:rPr>
                <w:rFonts w:ascii="NDSFrutiger 45 Light" w:hAnsi="NDSFrutiger 45 Light"/>
              </w:rPr>
            </w:pPr>
          </w:p>
        </w:tc>
        <w:tc>
          <w:tcPr>
            <w:tcW w:w="3912" w:type="dxa"/>
            <w:gridSpan w:val="2"/>
            <w:vAlign w:val="bottom"/>
          </w:tcPr>
          <w:p w:rsidR="004C118B" w:rsidRDefault="004C118B" w:rsidP="004C118B">
            <w:pPr>
              <w:pStyle w:val="Kopfzeile"/>
              <w:tabs>
                <w:tab w:val="clear" w:pos="4536"/>
                <w:tab w:val="left" w:pos="1021"/>
              </w:tabs>
              <w:rPr>
                <w:rFonts w:ascii="NDSFrutiger 45 Light" w:hAnsi="NDSFrutiger 45 Light"/>
                <w:sz w:val="16"/>
              </w:rPr>
            </w:pPr>
          </w:p>
        </w:tc>
      </w:tr>
      <w:tr w:rsidR="004C118B" w:rsidTr="00374B77">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lang w:val="it-IT"/>
              </w:rPr>
            </w:pPr>
          </w:p>
        </w:tc>
        <w:tc>
          <w:tcPr>
            <w:tcW w:w="624" w:type="dxa"/>
            <w:vAlign w:val="bottom"/>
          </w:tcPr>
          <w:p w:rsidR="004C118B" w:rsidRDefault="004C118B" w:rsidP="004C118B">
            <w:pPr>
              <w:pStyle w:val="Kopfzeile"/>
              <w:tabs>
                <w:tab w:val="clear" w:pos="4536"/>
              </w:tabs>
              <w:rPr>
                <w:rFonts w:ascii="NDSFrutiger 45 Light" w:hAnsi="NDSFrutiger 45 Light"/>
                <w:lang w:val="it-IT"/>
              </w:rPr>
            </w:pPr>
          </w:p>
        </w:tc>
        <w:tc>
          <w:tcPr>
            <w:tcW w:w="1021" w:type="dxa"/>
            <w:vMerge w:val="restart"/>
          </w:tcPr>
          <w:p w:rsidR="004C118B" w:rsidRPr="006A45CF" w:rsidRDefault="004C118B" w:rsidP="004C118B">
            <w:pPr>
              <w:pStyle w:val="Kopfzeile"/>
              <w:tabs>
                <w:tab w:val="clear" w:pos="4536"/>
                <w:tab w:val="left" w:pos="1021"/>
              </w:tabs>
              <w:spacing w:before="60"/>
              <w:rPr>
                <w:rFonts w:ascii="NDSFrutiger 45 Light" w:hAnsi="NDSFrutiger 45 Light"/>
                <w:sz w:val="14"/>
                <w:lang w:val="it-IT"/>
              </w:rPr>
            </w:pPr>
          </w:p>
        </w:tc>
        <w:tc>
          <w:tcPr>
            <w:tcW w:w="2891" w:type="dxa"/>
            <w:vMerge w:val="restart"/>
          </w:tcPr>
          <w:p w:rsidR="004C118B" w:rsidRPr="001E11E7" w:rsidRDefault="004C118B" w:rsidP="004C118B">
            <w:pPr>
              <w:pStyle w:val="Kopfzeile"/>
              <w:tabs>
                <w:tab w:val="clear" w:pos="4536"/>
                <w:tab w:val="left" w:pos="1338"/>
              </w:tabs>
              <w:spacing w:before="60"/>
              <w:rPr>
                <w:rFonts w:ascii="NDSFrutiger 45 Light" w:hAnsi="NDSFrutiger 45 Light"/>
                <w:sz w:val="16"/>
              </w:rPr>
            </w:pPr>
          </w:p>
        </w:tc>
      </w:tr>
      <w:tr w:rsidR="004C118B" w:rsidTr="00374B77">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rPr>
            </w:pPr>
          </w:p>
        </w:tc>
        <w:tc>
          <w:tcPr>
            <w:tcW w:w="624" w:type="dxa"/>
            <w:vAlign w:val="bottom"/>
          </w:tcPr>
          <w:p w:rsidR="004C118B" w:rsidRDefault="004C118B" w:rsidP="004C118B">
            <w:pPr>
              <w:pStyle w:val="Kopfzeile"/>
              <w:tabs>
                <w:tab w:val="clear" w:pos="4536"/>
              </w:tabs>
              <w:rPr>
                <w:rFonts w:ascii="NDSFrutiger 45 Light" w:hAnsi="NDSFrutiger 45 Light"/>
              </w:rPr>
            </w:pPr>
          </w:p>
        </w:tc>
        <w:tc>
          <w:tcPr>
            <w:tcW w:w="1021" w:type="dxa"/>
            <w:vMerge/>
            <w:vAlign w:val="bottom"/>
          </w:tcPr>
          <w:p w:rsidR="004C118B" w:rsidRDefault="004C118B" w:rsidP="004C118B">
            <w:pPr>
              <w:pStyle w:val="Kopfzeile"/>
              <w:tabs>
                <w:tab w:val="clear" w:pos="4536"/>
                <w:tab w:val="left" w:pos="1021"/>
              </w:tabs>
              <w:rPr>
                <w:rFonts w:ascii="NDSFrutiger 45 Light" w:hAnsi="NDSFrutiger 45 Light"/>
                <w:sz w:val="16"/>
                <w:lang w:val="it-IT"/>
              </w:rPr>
            </w:pPr>
          </w:p>
        </w:tc>
        <w:tc>
          <w:tcPr>
            <w:tcW w:w="2891" w:type="dxa"/>
            <w:vMerge/>
            <w:vAlign w:val="bottom"/>
          </w:tcPr>
          <w:p w:rsidR="004C118B" w:rsidRDefault="004C118B" w:rsidP="004C118B">
            <w:pPr>
              <w:pStyle w:val="Kopfzeile"/>
              <w:tabs>
                <w:tab w:val="clear" w:pos="4536"/>
                <w:tab w:val="left" w:pos="1338"/>
              </w:tabs>
              <w:rPr>
                <w:rFonts w:ascii="NDSFrutiger 45 Light" w:hAnsi="NDSFrutiger 45 Light"/>
                <w:sz w:val="16"/>
                <w:lang w:val="it-IT"/>
              </w:rPr>
            </w:pPr>
          </w:p>
        </w:tc>
      </w:tr>
      <w:tr w:rsidR="004C118B" w:rsidTr="00374B77">
        <w:trPr>
          <w:trHeight w:hRule="exact" w:val="255"/>
        </w:trPr>
        <w:tc>
          <w:tcPr>
            <w:tcW w:w="5103" w:type="dxa"/>
            <w:vAlign w:val="bottom"/>
          </w:tcPr>
          <w:p w:rsidR="004C118B" w:rsidRPr="00145EF1" w:rsidRDefault="004C118B" w:rsidP="004C118B">
            <w:pPr>
              <w:pStyle w:val="Kopfzeile"/>
              <w:tabs>
                <w:tab w:val="clear" w:pos="4536"/>
                <w:tab w:val="clear" w:pos="9072"/>
              </w:tabs>
              <w:rPr>
                <w:rFonts w:ascii="NDSFrutiger 45 Light" w:hAnsi="NDSFrutiger 45 Light"/>
                <w:sz w:val="20"/>
                <w:szCs w:val="20"/>
                <w:lang w:val="it-IT"/>
              </w:rPr>
            </w:pPr>
          </w:p>
        </w:tc>
        <w:tc>
          <w:tcPr>
            <w:tcW w:w="624" w:type="dxa"/>
            <w:vAlign w:val="bottom"/>
          </w:tcPr>
          <w:p w:rsidR="004C118B" w:rsidRDefault="004C118B" w:rsidP="004C118B">
            <w:pPr>
              <w:pStyle w:val="Kopfzeile"/>
              <w:tabs>
                <w:tab w:val="clear" w:pos="4536"/>
              </w:tabs>
              <w:rPr>
                <w:rFonts w:ascii="NDSFrutiger 45 Light" w:hAnsi="NDSFrutiger 45 Light"/>
              </w:rPr>
            </w:pPr>
          </w:p>
        </w:tc>
        <w:tc>
          <w:tcPr>
            <w:tcW w:w="1021" w:type="dxa"/>
            <w:vAlign w:val="bottom"/>
          </w:tcPr>
          <w:p w:rsidR="004C118B" w:rsidRDefault="004C118B" w:rsidP="004C118B">
            <w:pPr>
              <w:pStyle w:val="Kopfzeile"/>
              <w:tabs>
                <w:tab w:val="clear" w:pos="4536"/>
                <w:tab w:val="left" w:pos="1021"/>
              </w:tabs>
              <w:rPr>
                <w:rFonts w:ascii="NDSFrutiger 45 Light" w:hAnsi="NDSFrutiger 45 Light"/>
                <w:sz w:val="16"/>
                <w:lang w:val="it-IT"/>
              </w:rPr>
            </w:pPr>
          </w:p>
        </w:tc>
        <w:tc>
          <w:tcPr>
            <w:tcW w:w="2891" w:type="dxa"/>
            <w:vAlign w:val="bottom"/>
          </w:tcPr>
          <w:p w:rsidR="004C118B" w:rsidRDefault="004C118B" w:rsidP="004C118B">
            <w:pPr>
              <w:pStyle w:val="Kopfzeile"/>
              <w:tabs>
                <w:tab w:val="clear" w:pos="4536"/>
                <w:tab w:val="left" w:pos="1338"/>
              </w:tabs>
              <w:rPr>
                <w:rFonts w:ascii="NDSFrutiger 45 Light" w:hAnsi="NDSFrutiger 45 Light"/>
                <w:sz w:val="16"/>
                <w:lang w:val="it-IT"/>
              </w:rPr>
            </w:pPr>
          </w:p>
        </w:tc>
      </w:tr>
      <w:tr w:rsidR="004C118B" w:rsidTr="00374B77">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rPr>
            </w:pPr>
          </w:p>
        </w:tc>
        <w:tc>
          <w:tcPr>
            <w:tcW w:w="624" w:type="dxa"/>
            <w:vMerge w:val="restart"/>
            <w:vAlign w:val="bottom"/>
          </w:tcPr>
          <w:p w:rsidR="004C118B" w:rsidRDefault="004C118B" w:rsidP="004C118B">
            <w:pPr>
              <w:pStyle w:val="Kopfzeile"/>
              <w:tabs>
                <w:tab w:val="clear" w:pos="4536"/>
              </w:tabs>
              <w:rPr>
                <w:rFonts w:ascii="NDSFrutiger 45 Light" w:hAnsi="NDSFrutiger 45 Light"/>
              </w:rPr>
            </w:pPr>
          </w:p>
        </w:tc>
        <w:tc>
          <w:tcPr>
            <w:tcW w:w="1021" w:type="dxa"/>
            <w:vAlign w:val="center"/>
          </w:tcPr>
          <w:p w:rsidR="004C118B" w:rsidRDefault="004C118B" w:rsidP="004C118B">
            <w:pPr>
              <w:pStyle w:val="Kopfzeile"/>
              <w:tabs>
                <w:tab w:val="clear" w:pos="4536"/>
                <w:tab w:val="left" w:pos="1338"/>
              </w:tabs>
              <w:rPr>
                <w:rFonts w:ascii="NDSFrutiger 45 Light" w:hAnsi="NDSFrutiger 45 Light"/>
                <w:sz w:val="16"/>
                <w:lang w:val="it-IT"/>
              </w:rPr>
            </w:pPr>
          </w:p>
        </w:tc>
        <w:tc>
          <w:tcPr>
            <w:tcW w:w="2891" w:type="dxa"/>
          </w:tcPr>
          <w:p w:rsidR="004C118B" w:rsidRPr="00B76E7E" w:rsidRDefault="004C118B" w:rsidP="004C118B">
            <w:pPr>
              <w:pStyle w:val="Kopfzeile"/>
              <w:tabs>
                <w:tab w:val="clear" w:pos="4536"/>
                <w:tab w:val="left" w:pos="1338"/>
              </w:tabs>
              <w:rPr>
                <w:rFonts w:cs="Arial"/>
                <w:sz w:val="18"/>
                <w:szCs w:val="18"/>
                <w:lang w:val="it-IT"/>
              </w:rPr>
            </w:pPr>
          </w:p>
        </w:tc>
      </w:tr>
      <w:tr w:rsidR="004C118B" w:rsidTr="00374B77">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rPr>
            </w:pPr>
          </w:p>
        </w:tc>
        <w:tc>
          <w:tcPr>
            <w:tcW w:w="624" w:type="dxa"/>
            <w:vMerge/>
            <w:vAlign w:val="bottom"/>
          </w:tcPr>
          <w:p w:rsidR="004C118B" w:rsidRDefault="004C118B" w:rsidP="004C118B">
            <w:pPr>
              <w:pStyle w:val="Kopfzeile"/>
              <w:tabs>
                <w:tab w:val="clear" w:pos="4536"/>
              </w:tabs>
              <w:rPr>
                <w:rFonts w:ascii="NDSFrutiger 45 Light" w:hAnsi="NDSFrutiger 45 Light"/>
              </w:rPr>
            </w:pPr>
          </w:p>
        </w:tc>
        <w:tc>
          <w:tcPr>
            <w:tcW w:w="1021" w:type="dxa"/>
            <w:vMerge w:val="restart"/>
            <w:vAlign w:val="center"/>
          </w:tcPr>
          <w:p w:rsidR="004C118B" w:rsidRPr="00370AB6" w:rsidRDefault="004C118B" w:rsidP="004C118B">
            <w:pPr>
              <w:pStyle w:val="Kopfzeile"/>
              <w:tabs>
                <w:tab w:val="left" w:pos="1021"/>
              </w:tabs>
              <w:rPr>
                <w:rFonts w:ascii="NDSFrutiger 45 Light" w:hAnsi="NDSFrutiger 45 Light"/>
                <w:sz w:val="14"/>
              </w:rPr>
            </w:pPr>
          </w:p>
        </w:tc>
        <w:tc>
          <w:tcPr>
            <w:tcW w:w="2891" w:type="dxa"/>
            <w:vMerge w:val="restart"/>
            <w:vAlign w:val="center"/>
          </w:tcPr>
          <w:p w:rsidR="004C118B" w:rsidRPr="002456FE" w:rsidRDefault="004C118B" w:rsidP="004C118B">
            <w:pPr>
              <w:pStyle w:val="Kopfzeile"/>
              <w:tabs>
                <w:tab w:val="left" w:pos="1338"/>
              </w:tabs>
              <w:rPr>
                <w:rFonts w:cs="Arial"/>
                <w:sz w:val="20"/>
              </w:rPr>
            </w:pPr>
          </w:p>
        </w:tc>
      </w:tr>
      <w:tr w:rsidR="00370AB6" w:rsidTr="00D26537">
        <w:trPr>
          <w:trHeight w:hRule="exact" w:val="221"/>
        </w:trPr>
        <w:tc>
          <w:tcPr>
            <w:tcW w:w="5103" w:type="dxa"/>
          </w:tcPr>
          <w:tbl>
            <w:tblPr>
              <w:tblpPr w:leftFromText="141" w:rightFromText="141" w:vertAnchor="text" w:horzAnchor="margin" w:tblpY="57"/>
              <w:tblW w:w="9980" w:type="dxa"/>
              <w:tblLayout w:type="fixed"/>
              <w:tblCellMar>
                <w:left w:w="0" w:type="dxa"/>
                <w:right w:w="0" w:type="dxa"/>
              </w:tblCellMar>
              <w:tblLook w:val="0000" w:firstRow="0" w:lastRow="0" w:firstColumn="0" w:lastColumn="0" w:noHBand="0" w:noVBand="0"/>
            </w:tblPr>
            <w:tblGrid>
              <w:gridCol w:w="9980"/>
            </w:tblGrid>
            <w:tr w:rsidR="00370AB6" w:rsidRPr="00134D58" w:rsidTr="00370AB6">
              <w:trPr>
                <w:cantSplit/>
                <w:trHeight w:hRule="exact" w:val="227"/>
              </w:trPr>
              <w:tc>
                <w:tcPr>
                  <w:tcW w:w="5103" w:type="dxa"/>
                  <w:vAlign w:val="bottom"/>
                </w:tcPr>
                <w:p w:rsidR="00370AB6" w:rsidRPr="00134D58" w:rsidRDefault="00370AB6" w:rsidP="00261E52">
                  <w:pPr>
                    <w:pStyle w:val="Kopfzeile"/>
                    <w:tabs>
                      <w:tab w:val="clear" w:pos="4536"/>
                      <w:tab w:val="clear" w:pos="9072"/>
                    </w:tabs>
                    <w:rPr>
                      <w:rFonts w:cs="Arial"/>
                      <w:sz w:val="18"/>
                      <w:szCs w:val="18"/>
                      <w:lang w:val="it-IT"/>
                    </w:rPr>
                  </w:pPr>
                </w:p>
              </w:tc>
            </w:tr>
            <w:tr w:rsidR="00370AB6" w:rsidRPr="00134D58" w:rsidTr="00370AB6">
              <w:trPr>
                <w:trHeight w:hRule="exact" w:val="227"/>
              </w:trPr>
              <w:tc>
                <w:tcPr>
                  <w:tcW w:w="5103" w:type="dxa"/>
                  <w:vAlign w:val="bottom"/>
                </w:tcPr>
                <w:p w:rsidR="00370AB6" w:rsidRPr="00134D58" w:rsidRDefault="00370AB6" w:rsidP="00261E52">
                  <w:pPr>
                    <w:pStyle w:val="Kopfzeile"/>
                    <w:tabs>
                      <w:tab w:val="clear" w:pos="4536"/>
                      <w:tab w:val="clear" w:pos="9072"/>
                    </w:tabs>
                    <w:rPr>
                      <w:rFonts w:cs="Arial"/>
                      <w:sz w:val="18"/>
                      <w:szCs w:val="18"/>
                      <w:lang w:val="it-IT"/>
                    </w:rPr>
                  </w:pPr>
                  <w:r w:rsidRPr="00134D58">
                    <w:rPr>
                      <w:rFonts w:cs="Arial"/>
                      <w:sz w:val="18"/>
                      <w:szCs w:val="18"/>
                      <w:lang w:val="it-IT"/>
                    </w:rPr>
                    <w:fldChar w:fldCharType="begin">
                      <w:ffData>
                        <w:name w:val="Text6"/>
                        <w:enabled/>
                        <w:calcOnExit w:val="0"/>
                        <w:textInput/>
                      </w:ffData>
                    </w:fldChar>
                  </w:r>
                  <w:r w:rsidRPr="00134D58">
                    <w:rPr>
                      <w:rFonts w:cs="Arial"/>
                      <w:sz w:val="18"/>
                      <w:szCs w:val="18"/>
                      <w:lang w:val="it-IT"/>
                    </w:rPr>
                    <w:instrText xml:space="preserve"> FORMTEXT </w:instrText>
                  </w:r>
                  <w:r w:rsidRPr="00134D58">
                    <w:rPr>
                      <w:rFonts w:cs="Arial"/>
                      <w:sz w:val="18"/>
                      <w:szCs w:val="18"/>
                      <w:lang w:val="it-IT"/>
                    </w:rPr>
                  </w:r>
                  <w:r w:rsidRPr="00134D58">
                    <w:rPr>
                      <w:rFonts w:cs="Arial"/>
                      <w:sz w:val="18"/>
                      <w:szCs w:val="18"/>
                      <w:lang w:val="it-IT"/>
                    </w:rPr>
                    <w:fldChar w:fldCharType="separate"/>
                  </w:r>
                  <w:r w:rsidR="00FD1527">
                    <w:rPr>
                      <w:rFonts w:cs="Arial"/>
                      <w:noProof/>
                      <w:sz w:val="18"/>
                      <w:szCs w:val="18"/>
                      <w:lang w:val="it-IT"/>
                    </w:rPr>
                    <w:t> </w:t>
                  </w:r>
                  <w:r w:rsidR="00FD1527">
                    <w:rPr>
                      <w:rFonts w:cs="Arial"/>
                      <w:noProof/>
                      <w:sz w:val="18"/>
                      <w:szCs w:val="18"/>
                      <w:lang w:val="it-IT"/>
                    </w:rPr>
                    <w:t> </w:t>
                  </w:r>
                  <w:r w:rsidR="00FD1527">
                    <w:rPr>
                      <w:rFonts w:cs="Arial"/>
                      <w:noProof/>
                      <w:sz w:val="18"/>
                      <w:szCs w:val="18"/>
                      <w:lang w:val="it-IT"/>
                    </w:rPr>
                    <w:t> </w:t>
                  </w:r>
                  <w:r w:rsidR="00FD1527">
                    <w:rPr>
                      <w:rFonts w:cs="Arial"/>
                      <w:noProof/>
                      <w:sz w:val="18"/>
                      <w:szCs w:val="18"/>
                      <w:lang w:val="it-IT"/>
                    </w:rPr>
                    <w:t> </w:t>
                  </w:r>
                  <w:r w:rsidR="00FD1527">
                    <w:rPr>
                      <w:rFonts w:cs="Arial"/>
                      <w:noProof/>
                      <w:sz w:val="18"/>
                      <w:szCs w:val="18"/>
                      <w:lang w:val="it-IT"/>
                    </w:rPr>
                    <w:t> </w:t>
                  </w:r>
                  <w:r w:rsidRPr="00134D58">
                    <w:rPr>
                      <w:rFonts w:cs="Arial"/>
                      <w:sz w:val="18"/>
                      <w:szCs w:val="18"/>
                      <w:lang w:val="it-IT"/>
                    </w:rPr>
                    <w:fldChar w:fldCharType="end"/>
                  </w:r>
                </w:p>
              </w:tc>
            </w:tr>
          </w:tbl>
          <w:p w:rsidR="00370AB6" w:rsidRPr="00134D58" w:rsidRDefault="00370AB6" w:rsidP="00261E52">
            <w:pPr>
              <w:rPr>
                <w:sz w:val="18"/>
                <w:szCs w:val="18"/>
              </w:rPr>
            </w:pPr>
          </w:p>
        </w:tc>
        <w:tc>
          <w:tcPr>
            <w:tcW w:w="624" w:type="dxa"/>
            <w:vAlign w:val="bottom"/>
          </w:tcPr>
          <w:p w:rsidR="00370AB6" w:rsidRDefault="00370AB6" w:rsidP="00261E52">
            <w:pPr>
              <w:pStyle w:val="Kopfzeile"/>
              <w:tabs>
                <w:tab w:val="clear" w:pos="4536"/>
              </w:tabs>
              <w:rPr>
                <w:rFonts w:ascii="NDSFrutiger 45 Light" w:hAnsi="NDSFrutiger 45 Light"/>
              </w:rPr>
            </w:pPr>
          </w:p>
        </w:tc>
        <w:tc>
          <w:tcPr>
            <w:tcW w:w="1021" w:type="dxa"/>
            <w:vMerge/>
            <w:vAlign w:val="center"/>
          </w:tcPr>
          <w:p w:rsidR="00370AB6" w:rsidRDefault="00370AB6" w:rsidP="00261E52">
            <w:pPr>
              <w:pStyle w:val="Kopfzeile"/>
              <w:tabs>
                <w:tab w:val="clear" w:pos="4536"/>
                <w:tab w:val="left" w:pos="1021"/>
              </w:tabs>
              <w:rPr>
                <w:rFonts w:ascii="NDSFrutiger 45 Light" w:hAnsi="NDSFrutiger 45 Light"/>
                <w:sz w:val="16"/>
                <w:lang w:val="it-IT"/>
              </w:rPr>
            </w:pPr>
          </w:p>
        </w:tc>
        <w:tc>
          <w:tcPr>
            <w:tcW w:w="2891" w:type="dxa"/>
            <w:vMerge/>
            <w:vAlign w:val="center"/>
          </w:tcPr>
          <w:p w:rsidR="00370AB6" w:rsidRPr="002456FE" w:rsidRDefault="00370AB6" w:rsidP="00261E52">
            <w:pPr>
              <w:pStyle w:val="Kopfzeile"/>
              <w:tabs>
                <w:tab w:val="clear" w:pos="4536"/>
                <w:tab w:val="left" w:pos="1338"/>
              </w:tabs>
              <w:rPr>
                <w:rFonts w:cs="Arial"/>
                <w:sz w:val="16"/>
                <w:lang w:val="it-IT"/>
              </w:rPr>
            </w:pPr>
          </w:p>
        </w:tc>
      </w:tr>
    </w:tbl>
    <w:bookmarkStart w:id="3" w:name="_GoBack"/>
    <w:bookmarkEnd w:id="3"/>
    <w:p w:rsidR="008124BE" w:rsidRPr="00374D10" w:rsidRDefault="00323BEE">
      <w:pPr>
        <w:rPr>
          <w:rFonts w:ascii="NDSFrutiger 45 Light" w:hAnsi="NDSFrutiger 45 Light" w:cs="Arial"/>
          <w:sz w:val="20"/>
          <w:szCs w:val="20"/>
        </w:rPr>
      </w:pPr>
      <w:r w:rsidRPr="00374D10">
        <w:rPr>
          <w:noProof/>
        </w:rPr>
        <mc:AlternateContent>
          <mc:Choice Requires="wps">
            <w:drawing>
              <wp:anchor distT="0" distB="0" distL="114300" distR="114300" simplePos="0" relativeHeight="251661312" behindDoc="0" locked="0" layoutInCell="1" allowOverlap="1" wp14:anchorId="13B52108" wp14:editId="26C0FA63">
                <wp:simplePos x="0" y="0"/>
                <wp:positionH relativeFrom="page">
                  <wp:posOffset>180340</wp:posOffset>
                </wp:positionH>
                <wp:positionV relativeFrom="page">
                  <wp:posOffset>3780790</wp:posOffset>
                </wp:positionV>
                <wp:extent cx="158400" cy="0"/>
                <wp:effectExtent l="0" t="0" r="3238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56781" id="Line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6.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f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">
                <w10:wrap anchorx="page" anchory="page"/>
              </v:line>
            </w:pict>
          </mc:Fallback>
        </mc:AlternateContent>
      </w:r>
      <w:r w:rsidR="00523DE2" w:rsidRPr="00374D10">
        <w:rPr>
          <w:noProof/>
        </w:rPr>
        <mc:AlternateContent>
          <mc:Choice Requires="wps">
            <w:drawing>
              <wp:anchor distT="0" distB="0" distL="114300" distR="114300" simplePos="0" relativeHeight="251659264" behindDoc="0" locked="1" layoutInCell="1" allowOverlap="1" wp14:anchorId="54527092" wp14:editId="79B56B40">
                <wp:simplePos x="0" y="0"/>
                <wp:positionH relativeFrom="page">
                  <wp:posOffset>180340</wp:posOffset>
                </wp:positionH>
                <wp:positionV relativeFrom="page">
                  <wp:posOffset>7560945</wp:posOffset>
                </wp:positionV>
                <wp:extent cx="158400" cy="0"/>
                <wp:effectExtent l="0" t="0" r="32385" b="19050"/>
                <wp:wrapSquare wrapText="bothSides"/>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1A35A"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6.6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L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bDrPU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">
                <w10:wrap type="square" anchorx="page" anchory="page"/>
                <w10:anchorlock/>
              </v:line>
            </w:pict>
          </mc:Fallback>
        </mc:AlternateContent>
      </w:r>
    </w:p>
    <w:tbl>
      <w:tblPr>
        <w:tblpPr w:leftFromText="142" w:rightFromText="142" w:vertAnchor="page" w:horzAnchor="page" w:tblpX="1362" w:tblpY="5331"/>
        <w:tblW w:w="9923" w:type="dxa"/>
        <w:tblLayout w:type="fixed"/>
        <w:tblCellMar>
          <w:left w:w="0" w:type="dxa"/>
          <w:right w:w="0" w:type="dxa"/>
        </w:tblCellMar>
        <w:tblLook w:val="0000" w:firstRow="0" w:lastRow="0" w:firstColumn="0" w:lastColumn="0" w:noHBand="0" w:noVBand="0"/>
      </w:tblPr>
      <w:tblGrid>
        <w:gridCol w:w="2880"/>
        <w:gridCol w:w="2857"/>
        <w:gridCol w:w="2983"/>
        <w:gridCol w:w="1203"/>
      </w:tblGrid>
      <w:tr w:rsidR="00374D10" w:rsidRPr="00374D10" w:rsidTr="00D26537">
        <w:trPr>
          <w:cantSplit/>
          <w:trHeight w:hRule="exact" w:val="397"/>
        </w:trPr>
        <w:tc>
          <w:tcPr>
            <w:tcW w:w="2880" w:type="dxa"/>
            <w:vAlign w:val="bottom"/>
          </w:tcPr>
          <w:p w:rsidR="009B1812" w:rsidRPr="00D26537" w:rsidRDefault="009B1812" w:rsidP="00195D63">
            <w:pPr>
              <w:pStyle w:val="IZN-Arial-7-Links"/>
              <w:spacing w:before="240" w:after="0"/>
              <w:rPr>
                <w:rFonts w:cs="Arial"/>
                <w:szCs w:val="24"/>
              </w:rPr>
            </w:pPr>
            <w:r w:rsidRPr="00D26537">
              <w:rPr>
                <w:rFonts w:cs="Arial"/>
                <w:szCs w:val="24"/>
              </w:rPr>
              <w:t>Ihr Zeichen, Ihre Nachricht vom</w:t>
            </w:r>
          </w:p>
        </w:tc>
        <w:tc>
          <w:tcPr>
            <w:tcW w:w="2857" w:type="dxa"/>
            <w:vAlign w:val="bottom"/>
          </w:tcPr>
          <w:p w:rsidR="009B1812" w:rsidRPr="00D26537" w:rsidRDefault="009B1812" w:rsidP="00195D63">
            <w:pPr>
              <w:spacing w:before="240"/>
              <w:rPr>
                <w:rFonts w:cs="Arial"/>
                <w:sz w:val="14"/>
              </w:rPr>
            </w:pPr>
            <w:r w:rsidRPr="00D26537">
              <w:rPr>
                <w:rFonts w:cs="Arial"/>
                <w:sz w:val="14"/>
              </w:rPr>
              <w:t>Mein Zeichen (</w:t>
            </w:r>
            <w:r w:rsidR="00202DC0" w:rsidRPr="00D26537">
              <w:rPr>
                <w:rFonts w:cs="Arial"/>
                <w:sz w:val="14"/>
              </w:rPr>
              <w:t>bitte b</w:t>
            </w:r>
            <w:r w:rsidRPr="00D26537">
              <w:rPr>
                <w:rFonts w:cs="Arial"/>
                <w:sz w:val="14"/>
              </w:rPr>
              <w:t>ei Antwort angeben)</w:t>
            </w:r>
          </w:p>
        </w:tc>
        <w:tc>
          <w:tcPr>
            <w:tcW w:w="2983" w:type="dxa"/>
            <w:vAlign w:val="bottom"/>
          </w:tcPr>
          <w:p w:rsidR="009B1812" w:rsidRPr="001F1523" w:rsidRDefault="009B1812" w:rsidP="00195D63">
            <w:pPr>
              <w:spacing w:before="240"/>
              <w:rPr>
                <w:rFonts w:cs="Arial"/>
                <w:sz w:val="14"/>
              </w:rPr>
            </w:pPr>
            <w:r w:rsidRPr="00D26537">
              <w:rPr>
                <w:rFonts w:cs="Arial"/>
                <w:sz w:val="14"/>
              </w:rPr>
              <w:t xml:space="preserve">Durchwahl </w:t>
            </w:r>
            <w:bookmarkStart w:id="4" w:name="VorwahlGS"/>
            <w:r w:rsidRPr="00D26537">
              <w:rPr>
                <w:rFonts w:cs="Arial"/>
                <w:sz w:val="14"/>
              </w:rPr>
              <w:t>(0511) 9898-</w:t>
            </w:r>
            <w:bookmarkEnd w:id="4"/>
          </w:p>
        </w:tc>
        <w:tc>
          <w:tcPr>
            <w:tcW w:w="1203" w:type="dxa"/>
            <w:vAlign w:val="bottom"/>
          </w:tcPr>
          <w:p w:rsidR="009B1812" w:rsidRPr="00D26537" w:rsidRDefault="009B1812" w:rsidP="00195D63">
            <w:pPr>
              <w:spacing w:before="240"/>
              <w:rPr>
                <w:rFonts w:cs="Arial"/>
                <w:sz w:val="14"/>
              </w:rPr>
            </w:pPr>
            <w:bookmarkStart w:id="5" w:name="OrtGS"/>
            <w:r w:rsidRPr="00D26537">
              <w:rPr>
                <w:rFonts w:cs="Arial"/>
                <w:sz w:val="14"/>
              </w:rPr>
              <w:t>Hannover</w:t>
            </w:r>
            <w:bookmarkEnd w:id="5"/>
          </w:p>
        </w:tc>
      </w:tr>
      <w:tr w:rsidR="00374D10" w:rsidRPr="00374D10" w:rsidTr="00D26537">
        <w:trPr>
          <w:cantSplit/>
          <w:trHeight w:hRule="exact" w:val="318"/>
        </w:trPr>
        <w:tc>
          <w:tcPr>
            <w:tcW w:w="2880" w:type="dxa"/>
            <w:vAlign w:val="bottom"/>
          </w:tcPr>
          <w:p w:rsidR="009B1812" w:rsidRPr="008B426D" w:rsidRDefault="009B1812" w:rsidP="00BE271D">
            <w:pPr>
              <w:pStyle w:val="IZN-Links-11"/>
              <w:spacing w:before="100" w:beforeAutospacing="1"/>
              <w:rPr>
                <w:rFonts w:ascii="Arial" w:hAnsi="Arial" w:cs="Arial"/>
                <w:sz w:val="20"/>
              </w:rPr>
            </w:pPr>
          </w:p>
        </w:tc>
        <w:tc>
          <w:tcPr>
            <w:tcW w:w="2857" w:type="dxa"/>
            <w:vAlign w:val="bottom"/>
          </w:tcPr>
          <w:p w:rsidR="009B1812" w:rsidRPr="008B426D" w:rsidRDefault="009B1812" w:rsidP="007F536D"/>
        </w:tc>
        <w:tc>
          <w:tcPr>
            <w:tcW w:w="2983" w:type="dxa"/>
            <w:vAlign w:val="bottom"/>
          </w:tcPr>
          <w:p w:rsidR="009B1812" w:rsidRPr="008B426D" w:rsidRDefault="001C3E45" w:rsidP="00BE271D">
            <w:pPr>
              <w:pStyle w:val="IZN-Links-11"/>
              <w:spacing w:before="100" w:beforeAutospacing="1"/>
              <w:rPr>
                <w:rFonts w:ascii="Arial" w:hAnsi="Arial" w:cs="Arial"/>
                <w:sz w:val="20"/>
              </w:rPr>
            </w:pPr>
            <w:r w:rsidRPr="008B426D">
              <w:rPr>
                <w:rFonts w:ascii="Arial" w:hAnsi="Arial" w:cs="Arial"/>
                <w:sz w:val="20"/>
              </w:rPr>
              <w:t>siehe Anhänge</w:t>
            </w:r>
            <w:r w:rsidRPr="008B426D">
              <w:rPr>
                <w:rFonts w:ascii="Arial" w:hAnsi="Arial" w:cs="Arial"/>
                <w:sz w:val="20"/>
              </w:rPr>
              <w:tab/>
            </w:r>
          </w:p>
        </w:tc>
        <w:tc>
          <w:tcPr>
            <w:tcW w:w="1203" w:type="dxa"/>
            <w:vAlign w:val="bottom"/>
          </w:tcPr>
          <w:p w:rsidR="009B1812" w:rsidRPr="008B426D" w:rsidRDefault="008A1393" w:rsidP="00195D63">
            <w:pPr>
              <w:pStyle w:val="IZN-Links-11"/>
              <w:rPr>
                <w:rFonts w:ascii="Arial" w:hAnsi="Arial" w:cs="Arial"/>
                <w:sz w:val="20"/>
              </w:rPr>
            </w:pPr>
            <w:r w:rsidRPr="008A1393">
              <w:rPr>
                <w:rFonts w:ascii="Arial" w:hAnsi="Arial" w:cs="Arial"/>
                <w:sz w:val="20"/>
              </w:rPr>
              <w:t>16</w:t>
            </w:r>
            <w:r w:rsidR="00081871" w:rsidRPr="008A1393">
              <w:rPr>
                <w:rFonts w:ascii="Arial" w:hAnsi="Arial" w:cs="Arial"/>
                <w:sz w:val="20"/>
              </w:rPr>
              <w:t>.</w:t>
            </w:r>
            <w:r w:rsidRPr="008A1393">
              <w:rPr>
                <w:rFonts w:ascii="Arial" w:hAnsi="Arial" w:cs="Arial"/>
                <w:sz w:val="20"/>
              </w:rPr>
              <w:t>12</w:t>
            </w:r>
            <w:r w:rsidR="008B426D" w:rsidRPr="008A1393">
              <w:rPr>
                <w:rFonts w:ascii="Arial" w:hAnsi="Arial" w:cs="Arial"/>
                <w:sz w:val="20"/>
              </w:rPr>
              <w:t>.202</w:t>
            </w:r>
            <w:r w:rsidR="00081871" w:rsidRPr="008A1393">
              <w:rPr>
                <w:rFonts w:ascii="Arial" w:hAnsi="Arial" w:cs="Arial"/>
                <w:sz w:val="20"/>
              </w:rPr>
              <w:t>2</w:t>
            </w:r>
          </w:p>
        </w:tc>
      </w:tr>
    </w:tbl>
    <w:p w:rsidR="00201790" w:rsidRPr="00374D10" w:rsidRDefault="00201790" w:rsidP="00B76E7E">
      <w:pPr>
        <w:rPr>
          <w:rFonts w:cs="Arial"/>
          <w:b/>
        </w:rPr>
      </w:pPr>
    </w:p>
    <w:p w:rsidR="004710C3" w:rsidRDefault="004710C3" w:rsidP="004710C3">
      <w:pPr>
        <w:jc w:val="both"/>
        <w:rPr>
          <w:rFonts w:cs="Arial"/>
          <w:b/>
          <w:szCs w:val="22"/>
        </w:rPr>
      </w:pPr>
      <w:r w:rsidRPr="004710C3">
        <w:rPr>
          <w:rFonts w:cs="Arial"/>
          <w:b/>
          <w:szCs w:val="22"/>
        </w:rPr>
        <w:t>Finanzstatistiken der doppisch oder kameral buchenden Extrahaushalte im Jahr 202</w:t>
      </w:r>
      <w:r w:rsidR="00081871">
        <w:rPr>
          <w:rFonts w:cs="Arial"/>
          <w:b/>
          <w:szCs w:val="22"/>
        </w:rPr>
        <w:t>3</w:t>
      </w:r>
    </w:p>
    <w:p w:rsidR="00F06085" w:rsidRPr="004710C3" w:rsidRDefault="00F06085" w:rsidP="004710C3">
      <w:pPr>
        <w:jc w:val="both"/>
        <w:rPr>
          <w:rFonts w:cs="Arial"/>
          <w:sz w:val="16"/>
          <w:szCs w:val="16"/>
        </w:rPr>
      </w:pPr>
    </w:p>
    <w:p w:rsidR="004710C3" w:rsidRPr="004710C3" w:rsidRDefault="004710C3" w:rsidP="004710C3">
      <w:pPr>
        <w:jc w:val="both"/>
        <w:rPr>
          <w:rFonts w:cs="Arial"/>
        </w:rPr>
      </w:pPr>
      <w:r w:rsidRPr="004710C3">
        <w:rPr>
          <w:rFonts w:cs="Arial"/>
        </w:rPr>
        <w:t>Sehr geehrte Damen und Herren,</w:t>
      </w:r>
    </w:p>
    <w:p w:rsidR="004710C3" w:rsidRPr="004710C3" w:rsidRDefault="004710C3" w:rsidP="004710C3">
      <w:pPr>
        <w:jc w:val="both"/>
        <w:rPr>
          <w:rFonts w:cs="Arial"/>
          <w:sz w:val="16"/>
          <w:szCs w:val="16"/>
        </w:rPr>
      </w:pPr>
    </w:p>
    <w:p w:rsidR="004710C3" w:rsidRPr="004710C3" w:rsidRDefault="004710C3" w:rsidP="004710C3">
      <w:pPr>
        <w:jc w:val="both"/>
        <w:rPr>
          <w:rFonts w:cs="Arial"/>
        </w:rPr>
      </w:pPr>
      <w:r w:rsidRPr="004710C3">
        <w:rPr>
          <w:rFonts w:cs="Arial"/>
        </w:rPr>
        <w:t>ich möchte Sie mit diesem Schreiben über die Durchführung der Finanzstatistiken für das kommende Jahr informieren. Die doppisch oder kameral buchenden kommunalen Extrahaushalte in Niedersachsen sind für folgende Erhebungen auskunftspflichtig:</w:t>
      </w:r>
    </w:p>
    <w:p w:rsidR="004710C3" w:rsidRPr="004710C3" w:rsidRDefault="004710C3" w:rsidP="004710C3">
      <w:pPr>
        <w:jc w:val="both"/>
        <w:rPr>
          <w:rFonts w:cs="Arial"/>
          <w:sz w:val="16"/>
          <w:szCs w:val="16"/>
        </w:rPr>
      </w:pPr>
    </w:p>
    <w:p w:rsidR="004710C3" w:rsidRPr="004710C3" w:rsidRDefault="004710C3" w:rsidP="004710C3">
      <w:pPr>
        <w:pStyle w:val="Listenabsatz"/>
        <w:numPr>
          <w:ilvl w:val="0"/>
          <w:numId w:val="3"/>
        </w:numPr>
        <w:jc w:val="both"/>
        <w:rPr>
          <w:rFonts w:cs="Arial"/>
        </w:rPr>
      </w:pPr>
      <w:r w:rsidRPr="004710C3">
        <w:rPr>
          <w:rFonts w:cs="Arial"/>
        </w:rPr>
        <w:t>Kommunale Kassenstatistik für das 1. bis 4. Quartal 202</w:t>
      </w:r>
      <w:r w:rsidR="00081871">
        <w:rPr>
          <w:rFonts w:cs="Arial"/>
        </w:rPr>
        <w:t>3</w:t>
      </w:r>
    </w:p>
    <w:p w:rsidR="004710C3" w:rsidRPr="004710C3" w:rsidRDefault="004710C3" w:rsidP="004710C3">
      <w:pPr>
        <w:pStyle w:val="Listenabsatz"/>
        <w:numPr>
          <w:ilvl w:val="0"/>
          <w:numId w:val="3"/>
        </w:numPr>
        <w:jc w:val="both"/>
        <w:rPr>
          <w:rFonts w:cs="Arial"/>
        </w:rPr>
      </w:pPr>
      <w:r w:rsidRPr="004710C3">
        <w:rPr>
          <w:rFonts w:cs="Arial"/>
        </w:rPr>
        <w:t>Kommunale Jahresrechnungsstatistik für das Rechnungsjahr 202</w:t>
      </w:r>
      <w:r w:rsidR="00081871">
        <w:rPr>
          <w:rFonts w:cs="Arial"/>
        </w:rPr>
        <w:t>2</w:t>
      </w:r>
    </w:p>
    <w:p w:rsidR="004710C3" w:rsidRPr="004710C3" w:rsidRDefault="004710C3" w:rsidP="004710C3">
      <w:pPr>
        <w:pStyle w:val="Listenabsatz"/>
        <w:numPr>
          <w:ilvl w:val="0"/>
          <w:numId w:val="3"/>
        </w:numPr>
        <w:jc w:val="both"/>
        <w:rPr>
          <w:rFonts w:cs="Arial"/>
        </w:rPr>
      </w:pPr>
      <w:r w:rsidRPr="004710C3">
        <w:rPr>
          <w:rFonts w:cs="Arial"/>
        </w:rPr>
        <w:t>Jährliche Schuldenstatistik (FS) für den Stand 31.12.202</w:t>
      </w:r>
      <w:r w:rsidR="00081871">
        <w:rPr>
          <w:rFonts w:cs="Arial"/>
        </w:rPr>
        <w:t>2</w:t>
      </w:r>
    </w:p>
    <w:p w:rsidR="004710C3" w:rsidRPr="004710C3" w:rsidRDefault="004710C3" w:rsidP="004710C3">
      <w:pPr>
        <w:pStyle w:val="Listenabsatz"/>
        <w:numPr>
          <w:ilvl w:val="0"/>
          <w:numId w:val="3"/>
        </w:numPr>
        <w:jc w:val="both"/>
        <w:rPr>
          <w:rFonts w:cs="Arial"/>
        </w:rPr>
      </w:pPr>
      <w:r w:rsidRPr="004710C3">
        <w:rPr>
          <w:rFonts w:cs="Arial"/>
        </w:rPr>
        <w:t>Statistik des öffentlichen Finanzvermögens für den Stand 31.12.202</w:t>
      </w:r>
      <w:r w:rsidR="00081871">
        <w:rPr>
          <w:rFonts w:cs="Arial"/>
        </w:rPr>
        <w:t>2</w:t>
      </w:r>
    </w:p>
    <w:p w:rsidR="004710C3" w:rsidRPr="004710C3" w:rsidRDefault="004710C3" w:rsidP="004710C3">
      <w:pPr>
        <w:jc w:val="both"/>
        <w:rPr>
          <w:rFonts w:cs="Arial"/>
          <w:sz w:val="16"/>
          <w:szCs w:val="16"/>
        </w:rPr>
      </w:pPr>
    </w:p>
    <w:p w:rsidR="004710C3" w:rsidRPr="004710C3" w:rsidRDefault="004710C3" w:rsidP="004710C3">
      <w:pPr>
        <w:jc w:val="both"/>
        <w:rPr>
          <w:rFonts w:cs="Arial"/>
        </w:rPr>
      </w:pPr>
      <w:r w:rsidRPr="004710C3">
        <w:rPr>
          <w:rFonts w:cs="Arial"/>
        </w:rPr>
        <w:t>Rechtsgrundlage für die genannten Erhebungen ist das Finanz- und Personalstatistikgesetz (FPStatG)</w:t>
      </w:r>
      <w:r w:rsidRPr="004710C3">
        <w:rPr>
          <w:rStyle w:val="Funotenzeichen"/>
          <w:rFonts w:cs="Arial"/>
        </w:rPr>
        <w:footnoteReference w:id="1"/>
      </w:r>
      <w:r w:rsidRPr="004710C3">
        <w:rPr>
          <w:rFonts w:cs="Arial"/>
        </w:rPr>
        <w:t xml:space="preserve"> </w:t>
      </w:r>
      <w:r w:rsidR="006C78D2">
        <w:rPr>
          <w:rFonts w:cs="Arial"/>
        </w:rPr>
        <w:t xml:space="preserve">in Verbindung mit dem </w:t>
      </w:r>
      <w:r w:rsidR="006C78D2" w:rsidRPr="00220064">
        <w:rPr>
          <w:rFonts w:cs="Arial"/>
        </w:rPr>
        <w:t>Bundestatistikgesetz (</w:t>
      </w:r>
      <w:proofErr w:type="spellStart"/>
      <w:r w:rsidR="006C78D2" w:rsidRPr="00220064">
        <w:rPr>
          <w:rFonts w:cs="Arial"/>
        </w:rPr>
        <w:t>B</w:t>
      </w:r>
      <w:r w:rsidR="00BF7A9D">
        <w:rPr>
          <w:rFonts w:cs="Arial"/>
        </w:rPr>
        <w:t>S</w:t>
      </w:r>
      <w:r w:rsidR="006C78D2" w:rsidRPr="00220064">
        <w:rPr>
          <w:rFonts w:cs="Arial"/>
        </w:rPr>
        <w:t>tatG</w:t>
      </w:r>
      <w:proofErr w:type="spellEnd"/>
      <w:r w:rsidR="006C78D2" w:rsidRPr="00220064">
        <w:rPr>
          <w:rFonts w:cs="Arial"/>
        </w:rPr>
        <w:t>)</w:t>
      </w:r>
      <w:r w:rsidR="006C78D2" w:rsidRPr="00220064">
        <w:rPr>
          <w:rStyle w:val="Funotenzeichen"/>
          <w:rFonts w:cs="Arial"/>
        </w:rPr>
        <w:footnoteReference w:id="2"/>
      </w:r>
      <w:r w:rsidR="006C78D2" w:rsidRPr="00220064">
        <w:rPr>
          <w:rFonts w:cs="Arial"/>
        </w:rPr>
        <w:t xml:space="preserve"> </w:t>
      </w:r>
      <w:r w:rsidRPr="00220064">
        <w:rPr>
          <w:rFonts w:cs="Arial"/>
        </w:rPr>
        <w:t>in de</w:t>
      </w:r>
      <w:r w:rsidR="00152898" w:rsidRPr="00220064">
        <w:rPr>
          <w:rFonts w:cs="Arial"/>
        </w:rPr>
        <w:t>n</w:t>
      </w:r>
      <w:r w:rsidRPr="00220064">
        <w:rPr>
          <w:rFonts w:cs="Arial"/>
        </w:rPr>
        <w:t xml:space="preserve"> jeweils gültigen Fassung</w:t>
      </w:r>
      <w:r w:rsidR="00152898" w:rsidRPr="00220064">
        <w:rPr>
          <w:rFonts w:cs="Arial"/>
        </w:rPr>
        <w:t>en</w:t>
      </w:r>
      <w:r w:rsidRPr="00220064">
        <w:rPr>
          <w:rFonts w:cs="Arial"/>
        </w:rPr>
        <w:t>. Detailliertere Informationen wie auch Abgabetermine finden Sie in den Anlagen für jede einzelne Statistik.</w:t>
      </w:r>
      <w:r w:rsidR="00152898" w:rsidRPr="00220064">
        <w:rPr>
          <w:rFonts w:cs="Arial"/>
        </w:rPr>
        <w:t xml:space="preserve"> </w:t>
      </w:r>
      <w:r w:rsidR="007B4E25" w:rsidRPr="00220064">
        <w:rPr>
          <w:rFonts w:cs="Arial"/>
        </w:rPr>
        <w:t>Für genannten Statistiken besteht Auskunftspflicht.</w:t>
      </w:r>
    </w:p>
    <w:p w:rsidR="004710C3" w:rsidRPr="004710C3" w:rsidRDefault="004710C3" w:rsidP="004710C3">
      <w:pPr>
        <w:jc w:val="both"/>
        <w:rPr>
          <w:rFonts w:cs="Arial"/>
        </w:rPr>
      </w:pPr>
    </w:p>
    <w:p w:rsidR="004710C3" w:rsidRPr="004710C3" w:rsidRDefault="004710C3" w:rsidP="004710C3">
      <w:pPr>
        <w:jc w:val="both"/>
        <w:rPr>
          <w:rFonts w:cs="Arial"/>
        </w:rPr>
      </w:pPr>
      <w:r w:rsidRPr="004710C3">
        <w:rPr>
          <w:rFonts w:cs="Arial"/>
        </w:rPr>
        <w:t xml:space="preserve">Alle Informationen sind ebenso im Internet unter </w:t>
      </w:r>
    </w:p>
    <w:p w:rsidR="004710C3" w:rsidRPr="004710C3" w:rsidRDefault="004710C3" w:rsidP="004710C3">
      <w:pPr>
        <w:jc w:val="both"/>
        <w:rPr>
          <w:rFonts w:cs="Arial"/>
          <w:sz w:val="16"/>
          <w:szCs w:val="16"/>
        </w:rPr>
      </w:pPr>
    </w:p>
    <w:p w:rsidR="004710C3" w:rsidRPr="004710C3" w:rsidRDefault="004710C3" w:rsidP="004710C3">
      <w:pPr>
        <w:ind w:left="397" w:firstLine="312"/>
        <w:jc w:val="both"/>
        <w:rPr>
          <w:rFonts w:cs="Arial"/>
        </w:rPr>
      </w:pPr>
      <w:r w:rsidRPr="004710C3">
        <w:rPr>
          <w:rFonts w:cs="Arial"/>
          <w:b/>
          <w:color w:val="5B9BD5" w:themeColor="accent1"/>
        </w:rPr>
        <w:t xml:space="preserve">www.statistik.niedersachsen.de </w:t>
      </w:r>
      <w:r w:rsidRPr="004710C3">
        <w:rPr>
          <w:rFonts w:cs="Arial"/>
        </w:rPr>
        <w:t xml:space="preserve">unter </w:t>
      </w:r>
    </w:p>
    <w:p w:rsidR="004710C3" w:rsidRPr="004710C3" w:rsidRDefault="004710C3" w:rsidP="004710C3">
      <w:pPr>
        <w:ind w:left="397"/>
        <w:jc w:val="both"/>
        <w:rPr>
          <w:rFonts w:cs="Arial"/>
          <w:sz w:val="16"/>
          <w:szCs w:val="16"/>
        </w:rPr>
      </w:pPr>
    </w:p>
    <w:p w:rsidR="00486325" w:rsidRDefault="00F06085" w:rsidP="00F06085">
      <w:pPr>
        <w:ind w:left="705"/>
        <w:jc w:val="both"/>
        <w:rPr>
          <w:rFonts w:cs="Arial"/>
        </w:rPr>
      </w:pPr>
      <w:r w:rsidRPr="00F06085">
        <w:rPr>
          <w:rFonts w:cs="Arial"/>
        </w:rPr>
        <w:t xml:space="preserve">=&gt;Themen =&gt; Finanzen, Steuern, Personal =&gt; Finanzen in </w:t>
      </w:r>
      <w:r w:rsidRPr="00220064">
        <w:rPr>
          <w:rFonts w:cs="Arial"/>
        </w:rPr>
        <w:t>Niedersachsen =&gt; Übersicht =&gt;</w:t>
      </w:r>
      <w:r w:rsidR="00E35194" w:rsidRPr="00220064">
        <w:rPr>
          <w:rFonts w:cs="Arial"/>
        </w:rPr>
        <w:t xml:space="preserve"> (Vierteljährliche kommunale Kassenstatistik Niedersachsen / Kommunale Jahresrechnungsstatistik Niedersachsen / Schulden- und Finanzvermögensstatistik in Niedersachsen) =&gt;</w:t>
      </w:r>
      <w:r w:rsidRPr="00220064">
        <w:rPr>
          <w:rFonts w:cs="Arial"/>
        </w:rPr>
        <w:t xml:space="preserve"> </w:t>
      </w:r>
    </w:p>
    <w:p w:rsidR="00F06085" w:rsidRPr="00F06085" w:rsidRDefault="00F06085" w:rsidP="00F06085">
      <w:pPr>
        <w:ind w:left="705"/>
        <w:jc w:val="both"/>
        <w:rPr>
          <w:rFonts w:cs="Arial"/>
        </w:rPr>
      </w:pPr>
      <w:r w:rsidRPr="00220064">
        <w:rPr>
          <w:rFonts w:cs="Arial"/>
        </w:rPr>
        <w:t>Informationen für Auskunftspflichtige</w:t>
      </w:r>
      <w:r w:rsidRPr="00F06085">
        <w:rPr>
          <w:rFonts w:cs="Arial"/>
        </w:rPr>
        <w:t xml:space="preserve"> </w:t>
      </w:r>
    </w:p>
    <w:p w:rsidR="00E35194" w:rsidRDefault="00E35194" w:rsidP="00E35194">
      <w:pPr>
        <w:jc w:val="both"/>
        <w:rPr>
          <w:rFonts w:cs="Arial"/>
        </w:rPr>
      </w:pPr>
    </w:p>
    <w:p w:rsidR="00E35194" w:rsidRDefault="00E35194" w:rsidP="004710C3">
      <w:pPr>
        <w:jc w:val="both"/>
        <w:rPr>
          <w:rFonts w:cs="Arial"/>
        </w:rPr>
      </w:pPr>
      <w:r>
        <w:rPr>
          <w:rFonts w:cs="Arial"/>
        </w:rPr>
        <w:t>für</w:t>
      </w:r>
      <w:r w:rsidR="00F06085" w:rsidRPr="00F06085">
        <w:rPr>
          <w:rFonts w:cs="Arial"/>
        </w:rPr>
        <w:t xml:space="preserve"> jede einzelne Statistik verfügbar.</w:t>
      </w:r>
    </w:p>
    <w:p w:rsidR="00E35194" w:rsidRDefault="00E35194" w:rsidP="004710C3">
      <w:pPr>
        <w:jc w:val="both"/>
        <w:rPr>
          <w:rFonts w:cs="Arial"/>
          <w:b/>
        </w:rPr>
      </w:pPr>
    </w:p>
    <w:p w:rsidR="00F06085" w:rsidRPr="00E35194" w:rsidRDefault="00F06085" w:rsidP="004710C3">
      <w:pPr>
        <w:jc w:val="both"/>
        <w:rPr>
          <w:rFonts w:cs="Arial"/>
        </w:rPr>
      </w:pPr>
      <w:r w:rsidRPr="004710C3">
        <w:rPr>
          <w:rFonts w:cs="Arial"/>
          <w:b/>
        </w:rPr>
        <w:lastRenderedPageBreak/>
        <w:t>Lieferform / -weg</w:t>
      </w:r>
    </w:p>
    <w:p w:rsidR="00F06085" w:rsidRDefault="00F06085" w:rsidP="004710C3">
      <w:pPr>
        <w:jc w:val="both"/>
        <w:rPr>
          <w:rFonts w:cs="Arial"/>
        </w:rPr>
      </w:pPr>
    </w:p>
    <w:p w:rsidR="004710C3" w:rsidRPr="004710C3" w:rsidRDefault="004710C3" w:rsidP="004710C3">
      <w:pPr>
        <w:jc w:val="both"/>
        <w:rPr>
          <w:rFonts w:cs="Arial"/>
        </w:rPr>
      </w:pPr>
      <w:r w:rsidRPr="004710C3">
        <w:rPr>
          <w:rFonts w:cs="Arial"/>
        </w:rPr>
        <w:t xml:space="preserve">Aus Sicherheitsgründen können die Dateien </w:t>
      </w:r>
      <w:r w:rsidRPr="004710C3">
        <w:rPr>
          <w:rFonts w:cs="Arial"/>
          <w:b/>
        </w:rPr>
        <w:t>ausschließlich</w:t>
      </w:r>
      <w:r w:rsidRPr="004710C3">
        <w:rPr>
          <w:rFonts w:cs="Arial"/>
        </w:rPr>
        <w:t xml:space="preserve"> online über das IDEV-Verfahren übermittelt werden (IDEV = Internet Datenerhebung im Verbund)</w:t>
      </w:r>
      <w:r w:rsidR="002914B9" w:rsidRPr="004710C3">
        <w:rPr>
          <w:rFonts w:cs="Arial"/>
        </w:rPr>
        <w:t>.</w:t>
      </w:r>
      <w:r w:rsidRPr="004710C3">
        <w:rPr>
          <w:rFonts w:cs="Arial"/>
        </w:rPr>
        <w:t xml:space="preserve"> Sie erreichen IDEV unter:</w:t>
      </w:r>
    </w:p>
    <w:p w:rsidR="004710C3" w:rsidRPr="004710C3" w:rsidRDefault="004710C3" w:rsidP="004710C3">
      <w:pPr>
        <w:jc w:val="both"/>
        <w:rPr>
          <w:rFonts w:cs="Arial"/>
          <w:sz w:val="16"/>
          <w:szCs w:val="16"/>
        </w:rPr>
      </w:pPr>
    </w:p>
    <w:p w:rsidR="004710C3" w:rsidRPr="004710C3" w:rsidRDefault="004710C3" w:rsidP="004710C3">
      <w:pPr>
        <w:ind w:left="397" w:firstLine="312"/>
        <w:jc w:val="both"/>
        <w:rPr>
          <w:rFonts w:cs="Arial"/>
        </w:rPr>
      </w:pPr>
      <w:r w:rsidRPr="004710C3">
        <w:rPr>
          <w:rFonts w:cs="Arial"/>
          <w:b/>
          <w:color w:val="5B9BD5" w:themeColor="accent1"/>
        </w:rPr>
        <w:t xml:space="preserve">https://www.idev.nrw.de </w:t>
      </w:r>
    </w:p>
    <w:p w:rsidR="004710C3" w:rsidRDefault="004710C3" w:rsidP="004710C3">
      <w:pPr>
        <w:jc w:val="both"/>
        <w:rPr>
          <w:rFonts w:cs="Arial"/>
          <w:sz w:val="16"/>
          <w:szCs w:val="16"/>
        </w:rPr>
      </w:pPr>
    </w:p>
    <w:p w:rsidR="0087061D" w:rsidRDefault="0087061D" w:rsidP="004710C3">
      <w:pPr>
        <w:jc w:val="both"/>
        <w:rPr>
          <w:rFonts w:cs="Arial"/>
          <w:szCs w:val="22"/>
        </w:rPr>
      </w:pPr>
      <w:r w:rsidRPr="00C36FF4">
        <w:rPr>
          <w:rFonts w:cs="Arial"/>
          <w:szCs w:val="22"/>
        </w:rPr>
        <w:t>Die Zugangsdaten (Kennung / Passwort) sind Ihnen in einem früheren Schreiben zugesandt worden. Diese Zugangsdaten gelten für alle oben genannten Statistiken. Haben Sie Ihr Passwort verlegt oder vergessen, können Sie über ein automatisiertes Passwort-Rücksetzungsverfahren ein neues Initialpasswort erhalten. Eine Anleitung für dieses Verfahren finden Sie auf unseren Internetseiten unter Daten melden =&gt; IDEV =&gt; IDEV-Passwortzurücksetzung.</w:t>
      </w:r>
    </w:p>
    <w:p w:rsidR="005771F1" w:rsidRDefault="005771F1" w:rsidP="004710C3">
      <w:pPr>
        <w:jc w:val="both"/>
        <w:rPr>
          <w:rFonts w:cs="Arial"/>
          <w:sz w:val="16"/>
          <w:szCs w:val="16"/>
        </w:rPr>
      </w:pPr>
    </w:p>
    <w:p w:rsidR="005771F1" w:rsidRPr="005771F1" w:rsidRDefault="005771F1" w:rsidP="005771F1">
      <w:pPr>
        <w:jc w:val="both"/>
        <w:rPr>
          <w:rFonts w:cs="Arial"/>
          <w:b/>
          <w:highlight w:val="yellow"/>
        </w:rPr>
      </w:pPr>
      <w:r w:rsidRPr="005771F1">
        <w:rPr>
          <w:rFonts w:cs="Arial"/>
          <w:b/>
          <w:highlight w:val="yellow"/>
        </w:rPr>
        <w:t>Versand der Erhebungsunterlagen ab nächstem Jahr via E-Mail</w:t>
      </w:r>
    </w:p>
    <w:p w:rsidR="005771F1" w:rsidRPr="005771F1" w:rsidRDefault="005771F1" w:rsidP="005771F1">
      <w:pPr>
        <w:jc w:val="both"/>
        <w:rPr>
          <w:rFonts w:cs="Arial"/>
          <w:sz w:val="16"/>
          <w:szCs w:val="16"/>
          <w:highlight w:val="yellow"/>
        </w:rPr>
      </w:pPr>
    </w:p>
    <w:p w:rsidR="005771F1" w:rsidRDefault="005771F1" w:rsidP="005771F1">
      <w:pPr>
        <w:jc w:val="both"/>
        <w:rPr>
          <w:rFonts w:cs="Arial"/>
        </w:rPr>
      </w:pPr>
      <w:r w:rsidRPr="005771F1">
        <w:rPr>
          <w:rFonts w:cs="Arial"/>
          <w:highlight w:val="yellow"/>
        </w:rPr>
        <w:t>Ab dem kommenden Jahr soll der Versand dieser Erhebungsunterlagen mit elektronischer Post erfolgen. Dazu wird es voraussichtlich für jede Erhebung eine separate E-Mail geben. Den elektronischen Formularen werden in diesem Jahr Felder zur Adressänderung vorgeschaltet. Ich bitte dort um Angabe einer (möglichst funktionalen) E-Mail-Adresse für die jeweilige Erhebung, auf die der Versand ab nächstem Jahr erfolgen soll.</w:t>
      </w:r>
    </w:p>
    <w:p w:rsidR="005771F1" w:rsidRDefault="005771F1" w:rsidP="004710C3">
      <w:pPr>
        <w:jc w:val="both"/>
        <w:rPr>
          <w:rFonts w:cs="Arial"/>
          <w:sz w:val="16"/>
          <w:szCs w:val="16"/>
        </w:rPr>
      </w:pPr>
    </w:p>
    <w:p w:rsidR="0087061D" w:rsidRDefault="0087061D" w:rsidP="004710C3">
      <w:pPr>
        <w:jc w:val="both"/>
        <w:rPr>
          <w:rFonts w:cs="Arial"/>
          <w:sz w:val="16"/>
          <w:szCs w:val="16"/>
        </w:rPr>
      </w:pPr>
    </w:p>
    <w:p w:rsidR="0087061D" w:rsidRDefault="0087061D" w:rsidP="0087061D">
      <w:pPr>
        <w:jc w:val="both"/>
        <w:rPr>
          <w:rFonts w:cs="Arial"/>
          <w:b/>
        </w:rPr>
      </w:pPr>
      <w:r>
        <w:rPr>
          <w:rFonts w:cs="Arial"/>
          <w:b/>
        </w:rPr>
        <w:t>Aktueller Stand</w:t>
      </w:r>
      <w:r w:rsidRPr="00DD5C7D">
        <w:rPr>
          <w:rFonts w:cs="Arial"/>
          <w:b/>
        </w:rPr>
        <w:t xml:space="preserve"> zum Cash-Pooling</w:t>
      </w:r>
    </w:p>
    <w:p w:rsidR="0087061D" w:rsidRPr="00A86807" w:rsidRDefault="0087061D" w:rsidP="0087061D">
      <w:pPr>
        <w:jc w:val="both"/>
        <w:rPr>
          <w:rFonts w:cs="Arial"/>
          <w:sz w:val="16"/>
          <w:szCs w:val="16"/>
        </w:rPr>
      </w:pPr>
    </w:p>
    <w:p w:rsidR="0087061D" w:rsidRPr="004710C3" w:rsidRDefault="0087061D" w:rsidP="0087061D">
      <w:pPr>
        <w:jc w:val="both"/>
        <w:rPr>
          <w:rFonts w:cs="Arial"/>
          <w:sz w:val="16"/>
          <w:szCs w:val="16"/>
        </w:rPr>
      </w:pPr>
      <w:r w:rsidRPr="00DF1D34">
        <w:t>Zu dem Thema Cash-Pooling</w:t>
      </w:r>
      <w:r>
        <w:t xml:space="preserve"> wurde vom </w:t>
      </w:r>
      <w:r w:rsidR="00142A99">
        <w:t>N</w:t>
      </w:r>
      <w:r>
        <w:t>iedersächsischen Ministerium für Inneres und Sport eine haushaltsrechtlich fundierte Lösung erarbeitet, die voraussichtlich im nächsten Jahr in Form eines Erlasses bekannt gegeben wird. Die Einführung neuer Bilanzkonten wird voraussichtlich erst zum Haushaltsjahr 2024 erfolgen. Ich möchte an dieser Stelle für weiterführende Informationen auf die beiliegenden Bearbeitungshinweise und die Merkblätter zum Thema Cash-Pooling auf unseren Internetseiten verweisen. Insbesondere wurde nunmehr festgelegt, dass eine zentrale Verwaltung von Sichteinlagen nicht automatisch als Cash-Pooling zu werten ist.</w:t>
      </w:r>
    </w:p>
    <w:p w:rsidR="004710C3" w:rsidRPr="004710C3" w:rsidRDefault="004710C3" w:rsidP="004710C3">
      <w:pPr>
        <w:jc w:val="both"/>
        <w:rPr>
          <w:rFonts w:cs="Arial"/>
          <w:sz w:val="16"/>
          <w:szCs w:val="16"/>
        </w:rPr>
      </w:pPr>
    </w:p>
    <w:p w:rsidR="004710C3" w:rsidRPr="004710C3" w:rsidRDefault="004710C3" w:rsidP="004710C3">
      <w:pPr>
        <w:rPr>
          <w:rFonts w:cs="Arial"/>
          <w:szCs w:val="22"/>
        </w:rPr>
      </w:pPr>
      <w:r w:rsidRPr="004710C3">
        <w:rPr>
          <w:rFonts w:cs="Arial"/>
          <w:szCs w:val="22"/>
        </w:rPr>
        <w:t>Mit freundlichen Grüßen</w:t>
      </w:r>
    </w:p>
    <w:p w:rsidR="004710C3" w:rsidRPr="004710C3" w:rsidRDefault="004710C3" w:rsidP="004710C3">
      <w:pPr>
        <w:rPr>
          <w:rFonts w:cs="Arial"/>
          <w:szCs w:val="22"/>
        </w:rPr>
      </w:pPr>
      <w:r w:rsidRPr="004710C3">
        <w:rPr>
          <w:rFonts w:cs="Arial"/>
          <w:szCs w:val="22"/>
        </w:rPr>
        <w:t>Im Auftrage</w:t>
      </w:r>
    </w:p>
    <w:p w:rsidR="004710C3" w:rsidRPr="004710C3" w:rsidRDefault="004710C3" w:rsidP="004710C3">
      <w:pPr>
        <w:rPr>
          <w:rFonts w:cs="Arial"/>
          <w:szCs w:val="22"/>
        </w:rPr>
      </w:pPr>
      <w:r w:rsidRPr="004710C3">
        <w:rPr>
          <w:rFonts w:cs="Arial"/>
          <w:noProof/>
          <w:szCs w:val="22"/>
        </w:rPr>
        <w:drawing>
          <wp:inline distT="0" distB="0" distL="0" distR="0" wp14:anchorId="40F234E7" wp14:editId="26E467DC">
            <wp:extent cx="902970" cy="583565"/>
            <wp:effectExtent l="0" t="0" r="0" b="6985"/>
            <wp:docPr id="7" name="Bild 3" descr="Eb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ig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970" cy="583565"/>
                    </a:xfrm>
                    <a:prstGeom prst="rect">
                      <a:avLst/>
                    </a:prstGeom>
                    <a:noFill/>
                    <a:ln>
                      <a:noFill/>
                    </a:ln>
                  </pic:spPr>
                </pic:pic>
              </a:graphicData>
            </a:graphic>
          </wp:inline>
        </w:drawing>
      </w:r>
    </w:p>
    <w:p w:rsidR="004710C3" w:rsidRPr="004710C3" w:rsidRDefault="004710C3" w:rsidP="004710C3">
      <w:pPr>
        <w:rPr>
          <w:rFonts w:cs="Arial"/>
          <w:szCs w:val="22"/>
        </w:rPr>
      </w:pPr>
      <w:r w:rsidRPr="004710C3">
        <w:rPr>
          <w:rFonts w:cs="Arial"/>
          <w:szCs w:val="22"/>
        </w:rPr>
        <w:t>Sascha Ebigt</w:t>
      </w:r>
    </w:p>
    <w:p w:rsidR="004710C3" w:rsidRPr="004710C3" w:rsidRDefault="004710C3" w:rsidP="004710C3">
      <w:pPr>
        <w:rPr>
          <w:rFonts w:cs="Arial"/>
          <w:sz w:val="18"/>
          <w:szCs w:val="18"/>
        </w:rPr>
      </w:pPr>
    </w:p>
    <w:p w:rsidR="004710C3" w:rsidRPr="004710C3" w:rsidRDefault="004710C3" w:rsidP="004710C3">
      <w:pPr>
        <w:pStyle w:val="Textkrper"/>
        <w:tabs>
          <w:tab w:val="left" w:pos="708"/>
        </w:tabs>
        <w:jc w:val="left"/>
        <w:rPr>
          <w:rFonts w:ascii="Arial" w:hAnsi="Arial" w:cs="Arial"/>
          <w:b w:val="0"/>
          <w:sz w:val="20"/>
        </w:rPr>
      </w:pPr>
      <w:r w:rsidRPr="004710C3">
        <w:rPr>
          <w:rFonts w:ascii="Arial" w:hAnsi="Arial" w:cs="Arial"/>
          <w:b w:val="0"/>
          <w:sz w:val="20"/>
          <w:u w:val="single"/>
        </w:rPr>
        <w:t>Anlagen</w:t>
      </w:r>
      <w:r w:rsidRPr="004710C3">
        <w:rPr>
          <w:rFonts w:ascii="Arial" w:hAnsi="Arial" w:cs="Arial"/>
          <w:b w:val="0"/>
          <w:sz w:val="20"/>
        </w:rPr>
        <w:t>:</w:t>
      </w:r>
    </w:p>
    <w:p w:rsidR="004710C3" w:rsidRPr="004710C3" w:rsidRDefault="004710C3" w:rsidP="004710C3">
      <w:pPr>
        <w:pStyle w:val="Textkrper"/>
        <w:tabs>
          <w:tab w:val="left" w:pos="708"/>
        </w:tabs>
        <w:jc w:val="left"/>
        <w:rPr>
          <w:rFonts w:ascii="Arial" w:hAnsi="Arial" w:cs="Arial"/>
          <w:b w:val="0"/>
          <w:sz w:val="20"/>
        </w:rPr>
      </w:pPr>
      <w:r w:rsidRPr="004710C3">
        <w:rPr>
          <w:rFonts w:ascii="Arial" w:hAnsi="Arial" w:cs="Arial"/>
          <w:b w:val="0"/>
          <w:sz w:val="20"/>
        </w:rPr>
        <w:t>Bearbeitungshinweise zur vierteljährlichen Kassenstatistik, kommunalen Jahresrechnungsstatistik, jährlichen Schuldenstatistik und der Statistik des öffentlichen Finanzvermögens</w:t>
      </w:r>
    </w:p>
    <w:p w:rsidR="004710C3" w:rsidRDefault="004710C3" w:rsidP="004710C3">
      <w:pPr>
        <w:pStyle w:val="Textkrper"/>
        <w:tabs>
          <w:tab w:val="left" w:pos="708"/>
        </w:tabs>
        <w:jc w:val="left"/>
        <w:rPr>
          <w:rFonts w:ascii="Arial" w:hAnsi="Arial" w:cs="Arial"/>
          <w:b w:val="0"/>
          <w:sz w:val="20"/>
        </w:rPr>
      </w:pPr>
    </w:p>
    <w:p w:rsidR="008B426D" w:rsidRPr="004710C3" w:rsidRDefault="008B426D" w:rsidP="004710C3">
      <w:pPr>
        <w:pStyle w:val="Textkrper"/>
        <w:tabs>
          <w:tab w:val="left" w:pos="708"/>
        </w:tabs>
        <w:jc w:val="left"/>
        <w:rPr>
          <w:rFonts w:ascii="Arial" w:hAnsi="Arial" w:cs="Arial"/>
          <w:b w:val="0"/>
          <w:sz w:val="18"/>
          <w:szCs w:val="18"/>
        </w:rPr>
      </w:pPr>
    </w:p>
    <w:p w:rsidR="004710C3" w:rsidRPr="004710C3" w:rsidRDefault="004710C3" w:rsidP="004710C3">
      <w:pPr>
        <w:pStyle w:val="Textkrper"/>
        <w:tabs>
          <w:tab w:val="left" w:pos="708"/>
        </w:tabs>
        <w:jc w:val="left"/>
        <w:rPr>
          <w:rFonts w:ascii="Arial" w:hAnsi="Arial" w:cs="Arial"/>
          <w:b w:val="0"/>
          <w:sz w:val="20"/>
        </w:rPr>
      </w:pPr>
      <w:r w:rsidRPr="004710C3">
        <w:rPr>
          <w:rFonts w:ascii="Arial" w:hAnsi="Arial" w:cs="Arial"/>
          <w:b w:val="0"/>
          <w:sz w:val="20"/>
        </w:rPr>
        <w:t xml:space="preserve">Eine Durchschrift dieses Schreibens nebst Anlagen </w:t>
      </w:r>
      <w:proofErr w:type="gramStart"/>
      <w:r w:rsidRPr="004710C3">
        <w:rPr>
          <w:rFonts w:ascii="Arial" w:hAnsi="Arial" w:cs="Arial"/>
          <w:b w:val="0"/>
          <w:sz w:val="20"/>
        </w:rPr>
        <w:t>erhalten</w:t>
      </w:r>
      <w:proofErr w:type="gramEnd"/>
      <w:r w:rsidRPr="004710C3">
        <w:rPr>
          <w:rFonts w:ascii="Arial" w:hAnsi="Arial" w:cs="Arial"/>
          <w:b w:val="0"/>
          <w:sz w:val="20"/>
        </w:rPr>
        <w:t>:</w:t>
      </w:r>
    </w:p>
    <w:p w:rsidR="004710C3" w:rsidRPr="004710C3" w:rsidRDefault="004710C3" w:rsidP="004710C3">
      <w:pPr>
        <w:pStyle w:val="Textkrper"/>
        <w:numPr>
          <w:ilvl w:val="0"/>
          <w:numId w:val="1"/>
        </w:numPr>
        <w:tabs>
          <w:tab w:val="left" w:pos="708"/>
        </w:tabs>
        <w:jc w:val="left"/>
        <w:rPr>
          <w:rFonts w:ascii="Arial" w:hAnsi="Arial" w:cs="Arial"/>
          <w:b w:val="0"/>
          <w:sz w:val="20"/>
        </w:rPr>
      </w:pPr>
      <w:r w:rsidRPr="004710C3">
        <w:rPr>
          <w:rFonts w:ascii="Arial" w:hAnsi="Arial" w:cs="Arial"/>
          <w:b w:val="0"/>
          <w:sz w:val="20"/>
        </w:rPr>
        <w:t>Niedersächsisches Ministerium für Inneres und Sport</w:t>
      </w:r>
    </w:p>
    <w:p w:rsidR="004710C3" w:rsidRPr="004710C3" w:rsidRDefault="004710C3" w:rsidP="004710C3">
      <w:pPr>
        <w:pStyle w:val="Textkrper"/>
        <w:numPr>
          <w:ilvl w:val="0"/>
          <w:numId w:val="1"/>
        </w:numPr>
        <w:tabs>
          <w:tab w:val="left" w:pos="708"/>
        </w:tabs>
        <w:jc w:val="left"/>
        <w:rPr>
          <w:rFonts w:ascii="Arial" w:hAnsi="Arial" w:cs="Arial"/>
          <w:b w:val="0"/>
          <w:sz w:val="20"/>
        </w:rPr>
      </w:pPr>
      <w:r w:rsidRPr="004710C3">
        <w:rPr>
          <w:rFonts w:ascii="Arial" w:hAnsi="Arial" w:cs="Arial"/>
          <w:b w:val="0"/>
          <w:sz w:val="20"/>
        </w:rPr>
        <w:t>Niedersächsisches Finanzministerium</w:t>
      </w:r>
    </w:p>
    <w:p w:rsidR="004710C3" w:rsidRPr="004710C3" w:rsidRDefault="004710C3" w:rsidP="004710C3">
      <w:pPr>
        <w:pStyle w:val="Textkrper"/>
        <w:numPr>
          <w:ilvl w:val="0"/>
          <w:numId w:val="1"/>
        </w:numPr>
        <w:tabs>
          <w:tab w:val="left" w:pos="708"/>
        </w:tabs>
        <w:jc w:val="left"/>
        <w:rPr>
          <w:rFonts w:ascii="Arial" w:hAnsi="Arial" w:cs="Arial"/>
          <w:b w:val="0"/>
          <w:sz w:val="20"/>
        </w:rPr>
      </w:pPr>
      <w:r w:rsidRPr="004710C3">
        <w:rPr>
          <w:rFonts w:ascii="Arial" w:hAnsi="Arial" w:cs="Arial"/>
          <w:b w:val="0"/>
          <w:sz w:val="20"/>
        </w:rPr>
        <w:t xml:space="preserve">Arbeitsgemeinschaft der kommunalen Spitzenverbände Niedersachsens, vertreten durch den Niedersächsischen </w:t>
      </w:r>
      <w:r w:rsidR="00081871">
        <w:rPr>
          <w:rFonts w:ascii="Arial" w:hAnsi="Arial" w:cs="Arial"/>
          <w:b w:val="0"/>
          <w:sz w:val="20"/>
        </w:rPr>
        <w:t>Landkreistag (NLT)</w:t>
      </w:r>
    </w:p>
    <w:p w:rsidR="006C78D2" w:rsidRPr="0052773C" w:rsidRDefault="004710C3" w:rsidP="0052773C">
      <w:pPr>
        <w:pStyle w:val="Textkrper"/>
        <w:numPr>
          <w:ilvl w:val="0"/>
          <w:numId w:val="1"/>
        </w:numPr>
        <w:tabs>
          <w:tab w:val="left" w:pos="708"/>
        </w:tabs>
        <w:jc w:val="left"/>
        <w:rPr>
          <w:rFonts w:cs="Arial"/>
        </w:rPr>
      </w:pPr>
      <w:r w:rsidRPr="00333EB5">
        <w:rPr>
          <w:rFonts w:ascii="Arial" w:hAnsi="Arial" w:cs="Arial"/>
          <w:b w:val="0"/>
          <w:sz w:val="20"/>
        </w:rPr>
        <w:t>Kommunale Datenverarbeitungszentrale</w:t>
      </w:r>
      <w:r w:rsidRPr="0052773C">
        <w:rPr>
          <w:rFonts w:ascii="Arial" w:hAnsi="Arial" w:cs="Arial"/>
          <w:b w:val="0"/>
          <w:sz w:val="20"/>
        </w:rPr>
        <w:t>n in Niedersachsen</w:t>
      </w:r>
    </w:p>
    <w:p w:rsidR="0052773C" w:rsidRDefault="0052773C" w:rsidP="0052773C">
      <w:pPr>
        <w:pStyle w:val="Textkrper"/>
        <w:tabs>
          <w:tab w:val="left" w:pos="708"/>
        </w:tabs>
        <w:jc w:val="left"/>
        <w:rPr>
          <w:rFonts w:cs="Arial"/>
        </w:rPr>
      </w:pPr>
    </w:p>
    <w:p w:rsidR="0052773C" w:rsidRDefault="0052773C" w:rsidP="0052773C">
      <w:pPr>
        <w:pStyle w:val="Textkrper"/>
        <w:tabs>
          <w:tab w:val="left" w:pos="708"/>
        </w:tabs>
        <w:jc w:val="left"/>
        <w:rPr>
          <w:rFonts w:cs="Arial"/>
        </w:rPr>
      </w:pPr>
    </w:p>
    <w:p w:rsidR="0052773C" w:rsidRDefault="0052773C" w:rsidP="0052773C">
      <w:pPr>
        <w:pStyle w:val="Textkrper"/>
        <w:tabs>
          <w:tab w:val="left" w:pos="708"/>
        </w:tabs>
        <w:jc w:val="left"/>
        <w:rPr>
          <w:rFonts w:cs="Arial"/>
        </w:rPr>
      </w:pPr>
    </w:p>
    <w:p w:rsidR="0052773C" w:rsidRDefault="0052773C" w:rsidP="0052773C">
      <w:pPr>
        <w:pStyle w:val="Textkrper"/>
        <w:tabs>
          <w:tab w:val="left" w:pos="708"/>
        </w:tabs>
        <w:jc w:val="left"/>
        <w:rPr>
          <w:rFonts w:cs="Arial"/>
        </w:rPr>
      </w:pPr>
    </w:p>
    <w:p w:rsidR="0052773C" w:rsidRDefault="0052773C" w:rsidP="0052773C">
      <w:pPr>
        <w:pStyle w:val="Textkrper"/>
        <w:tabs>
          <w:tab w:val="left" w:pos="708"/>
        </w:tabs>
        <w:jc w:val="left"/>
        <w:rPr>
          <w:rFonts w:cs="Arial"/>
        </w:rPr>
      </w:pPr>
    </w:p>
    <w:p w:rsidR="00AE0844" w:rsidRDefault="00AE0844" w:rsidP="00AE0844">
      <w:pPr>
        <w:rPr>
          <w:rFonts w:cs="Arial"/>
          <w:b/>
        </w:rPr>
      </w:pPr>
      <w:r>
        <w:rPr>
          <w:rFonts w:cs="Arial"/>
          <w:b/>
        </w:rPr>
        <w:t>Kommunale Kassenstatistik für das 1. bis 4. Quartal 2023</w:t>
      </w:r>
    </w:p>
    <w:p w:rsidR="00AE0844" w:rsidRDefault="00AE0844" w:rsidP="00AE0844">
      <w:pPr>
        <w:rPr>
          <w:rFonts w:cs="Arial"/>
          <w:sz w:val="16"/>
          <w:szCs w:val="16"/>
        </w:rPr>
      </w:pPr>
    </w:p>
    <w:p w:rsidR="00AE0844" w:rsidRDefault="00AE0844" w:rsidP="00AE0844">
      <w:pPr>
        <w:rPr>
          <w:rFonts w:cs="Arial"/>
        </w:rPr>
      </w:pPr>
      <w:r>
        <w:rPr>
          <w:rFonts w:cs="Arial"/>
        </w:rPr>
        <w:t>Ansprechpartner: Herr Schuder</w:t>
      </w:r>
    </w:p>
    <w:p w:rsidR="00AE0844" w:rsidRDefault="00AE0844" w:rsidP="00AE0844">
      <w:pPr>
        <w:rPr>
          <w:rFonts w:cs="Arial"/>
        </w:rPr>
      </w:pPr>
      <w:r>
        <w:rPr>
          <w:rFonts w:cs="Arial"/>
        </w:rPr>
        <w:t>Tel.: 0511 / 9898 325</w:t>
      </w:r>
      <w:r w:rsidR="007E0A17">
        <w:rPr>
          <w:rFonts w:cs="Arial"/>
        </w:rPr>
        <w:t>1</w:t>
      </w:r>
    </w:p>
    <w:p w:rsidR="00AE0844" w:rsidRDefault="00AE0844" w:rsidP="00AE0844">
      <w:pPr>
        <w:rPr>
          <w:rFonts w:cs="Arial"/>
        </w:rPr>
      </w:pPr>
      <w:r>
        <w:rPr>
          <w:rFonts w:cs="Arial"/>
        </w:rPr>
        <w:t xml:space="preserve">E-Mail: </w:t>
      </w:r>
      <w:hyperlink r:id="rId17" w:history="1">
        <w:r>
          <w:rPr>
            <w:rStyle w:val="Hyperlink"/>
            <w:rFonts w:cs="Arial"/>
          </w:rPr>
          <w:t>Kassenstatistik@statistik.niedersachsen.de</w:t>
        </w:r>
      </w:hyperlink>
    </w:p>
    <w:p w:rsidR="00AE0844" w:rsidRDefault="00AE0844" w:rsidP="00AE0844">
      <w:pPr>
        <w:rPr>
          <w:rFonts w:cs="Arial"/>
        </w:rPr>
      </w:pPr>
      <w:r>
        <w:rPr>
          <w:rFonts w:cs="Arial"/>
        </w:rPr>
        <w:t>Aktenzeichen: 43.19711</w:t>
      </w:r>
    </w:p>
    <w:p w:rsidR="00AE0844" w:rsidRDefault="00AE0844" w:rsidP="00AE0844">
      <w:pPr>
        <w:rPr>
          <w:rFonts w:cs="Arial"/>
          <w:sz w:val="16"/>
          <w:szCs w:val="16"/>
        </w:rPr>
      </w:pPr>
    </w:p>
    <w:p w:rsidR="00AE0844" w:rsidRDefault="00AE0844" w:rsidP="00AE0844">
      <w:pPr>
        <w:rPr>
          <w:rFonts w:cs="Arial"/>
        </w:rPr>
      </w:pPr>
      <w:r>
        <w:rPr>
          <w:rFonts w:cs="Arial"/>
        </w:rPr>
        <w:t>Abgabetermine (bitte unbedingt einhalten)</w:t>
      </w:r>
    </w:p>
    <w:p w:rsidR="00AE0844" w:rsidRDefault="00AE0844" w:rsidP="00AE0844">
      <w:pPr>
        <w:rPr>
          <w:rFonts w:cs="Arial"/>
          <w:sz w:val="16"/>
          <w:szCs w:val="16"/>
        </w:rPr>
      </w:pPr>
    </w:p>
    <w:p w:rsidR="00AE0844" w:rsidRDefault="00AE0844" w:rsidP="00AE0844">
      <w:pPr>
        <w:numPr>
          <w:ilvl w:val="0"/>
          <w:numId w:val="7"/>
        </w:numPr>
        <w:rPr>
          <w:rFonts w:cs="Arial"/>
          <w:b/>
        </w:rPr>
      </w:pPr>
      <w:bookmarkStart w:id="6" w:name="_Hlk86906646"/>
      <w:r>
        <w:rPr>
          <w:rFonts w:cs="Arial"/>
          <w:b/>
        </w:rPr>
        <w:t>1. Quartal 2023</w:t>
      </w:r>
      <w:r>
        <w:rPr>
          <w:rFonts w:cs="Arial"/>
          <w:b/>
        </w:rPr>
        <w:tab/>
      </w:r>
      <w:r>
        <w:rPr>
          <w:rFonts w:cs="Arial"/>
          <w:b/>
        </w:rPr>
        <w:tab/>
      </w:r>
      <w:r>
        <w:rPr>
          <w:rFonts w:cs="Arial"/>
        </w:rPr>
        <w:t>Lieferung bis zum</w:t>
      </w:r>
      <w:r>
        <w:rPr>
          <w:rFonts w:cs="Arial"/>
          <w:b/>
        </w:rPr>
        <w:t xml:space="preserve"> </w:t>
      </w:r>
      <w:r>
        <w:rPr>
          <w:rFonts w:cs="Arial"/>
          <w:b/>
        </w:rPr>
        <w:tab/>
      </w:r>
      <w:r>
        <w:rPr>
          <w:rFonts w:cs="Arial"/>
          <w:b/>
        </w:rPr>
        <w:tab/>
        <w:t xml:space="preserve">10. April </w:t>
      </w:r>
      <w:r>
        <w:rPr>
          <w:rFonts w:cs="Arial"/>
          <w:b/>
        </w:rPr>
        <w:tab/>
        <w:t>2023</w:t>
      </w:r>
    </w:p>
    <w:p w:rsidR="00AE0844" w:rsidRDefault="00AE0844" w:rsidP="00AE0844">
      <w:pPr>
        <w:numPr>
          <w:ilvl w:val="0"/>
          <w:numId w:val="7"/>
        </w:numPr>
        <w:rPr>
          <w:rFonts w:cs="Arial"/>
          <w:b/>
        </w:rPr>
      </w:pPr>
      <w:r>
        <w:rPr>
          <w:rFonts w:cs="Arial"/>
          <w:b/>
        </w:rPr>
        <w:t>2. Quartal 2023</w:t>
      </w:r>
      <w:r>
        <w:rPr>
          <w:rFonts w:cs="Arial"/>
          <w:b/>
        </w:rPr>
        <w:tab/>
      </w:r>
      <w:r>
        <w:rPr>
          <w:rFonts w:cs="Arial"/>
          <w:b/>
        </w:rPr>
        <w:tab/>
      </w:r>
      <w:r>
        <w:rPr>
          <w:rFonts w:cs="Arial"/>
          <w:b/>
        </w:rPr>
        <w:tab/>
      </w:r>
      <w:r>
        <w:rPr>
          <w:rFonts w:cs="Arial"/>
        </w:rPr>
        <w:t>”</w:t>
      </w:r>
      <w:r>
        <w:rPr>
          <w:rFonts w:cs="Arial"/>
          <w:b/>
        </w:rPr>
        <w:tab/>
      </w:r>
      <w:r>
        <w:rPr>
          <w:rFonts w:cs="Arial"/>
          <w:b/>
        </w:rPr>
        <w:tab/>
      </w:r>
      <w:r>
        <w:rPr>
          <w:rFonts w:cs="Arial"/>
          <w:b/>
        </w:rPr>
        <w:tab/>
        <w:t xml:space="preserve">10. Juli </w:t>
      </w:r>
      <w:r>
        <w:rPr>
          <w:rFonts w:cs="Arial"/>
          <w:b/>
        </w:rPr>
        <w:tab/>
        <w:t>2023</w:t>
      </w:r>
    </w:p>
    <w:p w:rsidR="00AE0844" w:rsidRDefault="00AE0844" w:rsidP="00AE0844">
      <w:pPr>
        <w:numPr>
          <w:ilvl w:val="0"/>
          <w:numId w:val="7"/>
        </w:numPr>
        <w:rPr>
          <w:rFonts w:cs="Arial"/>
          <w:b/>
        </w:rPr>
      </w:pPr>
      <w:r>
        <w:rPr>
          <w:rFonts w:cs="Arial"/>
          <w:b/>
        </w:rPr>
        <w:t>3. Quartal 2023</w:t>
      </w:r>
      <w:r>
        <w:rPr>
          <w:rFonts w:cs="Arial"/>
          <w:b/>
        </w:rPr>
        <w:tab/>
      </w:r>
      <w:r>
        <w:rPr>
          <w:rFonts w:cs="Arial"/>
          <w:b/>
        </w:rPr>
        <w:tab/>
      </w:r>
      <w:r>
        <w:rPr>
          <w:rFonts w:cs="Arial"/>
          <w:b/>
        </w:rPr>
        <w:tab/>
      </w:r>
      <w:r>
        <w:rPr>
          <w:rFonts w:cs="Arial"/>
        </w:rPr>
        <w:t>”</w:t>
      </w:r>
      <w:r>
        <w:rPr>
          <w:rFonts w:cs="Arial"/>
          <w:b/>
        </w:rPr>
        <w:tab/>
      </w:r>
      <w:r>
        <w:rPr>
          <w:rFonts w:cs="Arial"/>
          <w:b/>
        </w:rPr>
        <w:tab/>
      </w:r>
      <w:r>
        <w:rPr>
          <w:rFonts w:cs="Arial"/>
          <w:b/>
        </w:rPr>
        <w:tab/>
        <w:t>09. Oktober</w:t>
      </w:r>
      <w:r>
        <w:rPr>
          <w:rFonts w:cs="Arial"/>
          <w:b/>
        </w:rPr>
        <w:tab/>
        <w:t>2023</w:t>
      </w:r>
    </w:p>
    <w:p w:rsidR="00AE0844" w:rsidRDefault="00AE0844" w:rsidP="00AE0844">
      <w:pPr>
        <w:numPr>
          <w:ilvl w:val="0"/>
          <w:numId w:val="7"/>
        </w:numPr>
        <w:contextualSpacing/>
        <w:rPr>
          <w:rFonts w:cs="Arial"/>
        </w:rPr>
      </w:pPr>
      <w:r>
        <w:rPr>
          <w:rFonts w:cs="Arial"/>
          <w:b/>
        </w:rPr>
        <w:t>4. Quartal 2023</w:t>
      </w:r>
      <w:r>
        <w:rPr>
          <w:rFonts w:cs="Arial"/>
          <w:b/>
        </w:rPr>
        <w:tab/>
      </w:r>
      <w:r>
        <w:rPr>
          <w:rFonts w:cs="Arial"/>
          <w:b/>
        </w:rPr>
        <w:tab/>
      </w:r>
      <w:r>
        <w:rPr>
          <w:rFonts w:cs="Arial"/>
          <w:b/>
        </w:rPr>
        <w:tab/>
      </w:r>
      <w:r>
        <w:rPr>
          <w:rFonts w:cs="Arial"/>
        </w:rPr>
        <w:t>”</w:t>
      </w:r>
      <w:r>
        <w:rPr>
          <w:rFonts w:cs="Arial"/>
          <w:b/>
        </w:rPr>
        <w:tab/>
      </w:r>
      <w:r>
        <w:rPr>
          <w:rFonts w:cs="Arial"/>
          <w:b/>
        </w:rPr>
        <w:tab/>
      </w:r>
      <w:r>
        <w:rPr>
          <w:rFonts w:cs="Arial"/>
          <w:b/>
        </w:rPr>
        <w:tab/>
        <w:t xml:space="preserve">08. Januar </w:t>
      </w:r>
      <w:r>
        <w:rPr>
          <w:rFonts w:cs="Arial"/>
          <w:b/>
        </w:rPr>
        <w:tab/>
        <w:t>2024</w:t>
      </w:r>
    </w:p>
    <w:bookmarkEnd w:id="6"/>
    <w:p w:rsidR="00AE0844" w:rsidRDefault="00AE0844" w:rsidP="00AE0844">
      <w:pPr>
        <w:rPr>
          <w:rFonts w:cs="Arial"/>
          <w:sz w:val="16"/>
          <w:szCs w:val="16"/>
        </w:rPr>
      </w:pPr>
    </w:p>
    <w:p w:rsidR="00AE0844" w:rsidRDefault="00AE0844" w:rsidP="00AE0844">
      <w:pPr>
        <w:jc w:val="both"/>
        <w:rPr>
          <w:rFonts w:cs="Arial"/>
          <w:b/>
          <w:szCs w:val="22"/>
          <w:u w:val="single"/>
        </w:rPr>
      </w:pPr>
      <w:r>
        <w:rPr>
          <w:rFonts w:cs="Arial"/>
          <w:b/>
          <w:szCs w:val="22"/>
          <w:u w:val="single"/>
        </w:rPr>
        <w:t>Bearbeitungshinweise:</w:t>
      </w:r>
    </w:p>
    <w:p w:rsidR="00AE0844" w:rsidRDefault="00AE0844" w:rsidP="00AE0844">
      <w:pPr>
        <w:jc w:val="both"/>
        <w:rPr>
          <w:rFonts w:cs="Arial"/>
          <w:b/>
          <w:szCs w:val="22"/>
          <w:u w:val="single"/>
        </w:rPr>
      </w:pPr>
    </w:p>
    <w:p w:rsidR="00AE0844" w:rsidRDefault="00AE0844" w:rsidP="00AE0844">
      <w:pPr>
        <w:rPr>
          <w:rFonts w:cs="Arial"/>
        </w:rPr>
      </w:pPr>
      <w:bookmarkStart w:id="7" w:name="_Hlk88649733"/>
      <w:r>
        <w:rPr>
          <w:rFonts w:cs="Arial"/>
        </w:rPr>
        <w:t>Die Liste der gültigen Konten für die Kassenstatistik 2023 finden Sie im Internet unter www.statistik.niedersachsen.de</w:t>
      </w:r>
      <w:r>
        <w:rPr>
          <w:rFonts w:cs="Arial"/>
          <w:b/>
        </w:rPr>
        <w:t xml:space="preserve"> </w:t>
      </w:r>
      <w:r>
        <w:rPr>
          <w:rFonts w:cs="Arial"/>
        </w:rPr>
        <w:t>=&gt; Themen =&gt; Finanzen, Steuern, Personal =&gt; Finanzen in Niedersachsen =&gt; Vierteljährliche kommunale Kassenstatistik Niedersachsen =&gt; Informationen für Auskunftspflichtige.</w:t>
      </w:r>
    </w:p>
    <w:bookmarkEnd w:id="7"/>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Bei der vierteljährlichen Erfassung der Kommunalfinanzen handelt es sich um eine Kassenstatistik. Daher sind für diese Erhebung grundsätzlich alle im Berichtszeitraum </w:t>
      </w:r>
      <w:r>
        <w:rPr>
          <w:rFonts w:cs="Arial"/>
          <w:b/>
          <w:szCs w:val="22"/>
        </w:rPr>
        <w:t xml:space="preserve">tatsächlich </w:t>
      </w:r>
      <w:r>
        <w:rPr>
          <w:rFonts w:cs="Arial"/>
          <w:szCs w:val="22"/>
        </w:rPr>
        <w:t>eingezahlten und ausgezahlten Beträge aus der Finanzrechnung maßgeblich,</w:t>
      </w:r>
      <w:r>
        <w:rPr>
          <w:rFonts w:cs="Arial"/>
          <w:b/>
          <w:szCs w:val="22"/>
        </w:rPr>
        <w:t xml:space="preserve"> gleichgültig für welchen Zeitraum sie gezahlt und verrechnet wurden (Prinzip der Kassenwirksamkeit)</w:t>
      </w:r>
      <w:r>
        <w:rPr>
          <w:rFonts w:cs="Arial"/>
          <w:szCs w:val="22"/>
        </w:rPr>
        <w:t xml:space="preserve">. Zusätzlich zu den Daten der Finanzrechnung werden der Stand der Verbindlichkeiten und Liquiditätskredite aus den Bestandskonten der Bilanz (Vermögensrechnung) erhoben. </w:t>
      </w:r>
      <w:r>
        <w:rPr>
          <w:rFonts w:cs="Arial"/>
          <w:b/>
          <w:szCs w:val="22"/>
        </w:rPr>
        <w:t>Bei Vergabe der Statistikerstellung an Dritte (z.B. Datenverarbeitungsunternehmen) bitten wir um besondere Sorgfalt bezüglich der zeitnahen Buchung von Zahlungsbewegungen, insbesondere zum Jahreswechsel.</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Um Rückfragen zu vermeiden, bitten wir dringend darauf zu achten, dass </w:t>
      </w:r>
      <w:r>
        <w:rPr>
          <w:rFonts w:cs="Arial"/>
          <w:szCs w:val="22"/>
          <w:u w:val="single"/>
        </w:rPr>
        <w:t>ausschließlich</w:t>
      </w:r>
      <w:r>
        <w:rPr>
          <w:rFonts w:cs="Arial"/>
          <w:szCs w:val="22"/>
        </w:rPr>
        <w:t xml:space="preserve"> die im aktuellen Kontenkatalog vorgegebenen Konten und Summenpositionen berücksichtigt werden. </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Die für interne Zwecke gebildeten Unterkonten müssen für die statistische Meldung zu einem verbindlichen Konto verdichtet werden; die Summenpositionen sind bitte entsprechend anzupassen.</w:t>
      </w:r>
    </w:p>
    <w:p w:rsidR="00AE0844" w:rsidRDefault="00AE0844" w:rsidP="00AE0844">
      <w:pPr>
        <w:spacing w:line="240" w:lineRule="exact"/>
        <w:jc w:val="both"/>
        <w:rPr>
          <w:rFonts w:cs="Arial"/>
          <w:szCs w:val="22"/>
        </w:rPr>
      </w:pPr>
    </w:p>
    <w:p w:rsidR="00AE0844" w:rsidRDefault="00AE0844" w:rsidP="00AE0844">
      <w:pPr>
        <w:spacing w:line="240" w:lineRule="exact"/>
        <w:jc w:val="both"/>
        <w:rPr>
          <w:rFonts w:cs="Arial"/>
          <w:szCs w:val="22"/>
        </w:rPr>
      </w:pPr>
      <w:r>
        <w:rPr>
          <w:rFonts w:cs="Arial"/>
          <w:szCs w:val="22"/>
        </w:rPr>
        <w:t xml:space="preserve">Die Angaben zu Einzahlungen und Auszahlungen aus der Finanzrechnung (bzw. Bilanz) müssen in </w:t>
      </w:r>
      <w:r>
        <w:rPr>
          <w:rFonts w:cs="Arial"/>
          <w:szCs w:val="22"/>
          <w:u w:val="single"/>
        </w:rPr>
        <w:t>vollen Euro</w:t>
      </w:r>
      <w:r>
        <w:rPr>
          <w:rFonts w:cs="Arial"/>
          <w:szCs w:val="22"/>
        </w:rPr>
        <w:t xml:space="preserve"> angegeben werden.</w:t>
      </w:r>
    </w:p>
    <w:p w:rsidR="00AE0844" w:rsidRDefault="00AE0844" w:rsidP="00AE0844">
      <w:pPr>
        <w:spacing w:line="240" w:lineRule="exact"/>
        <w:jc w:val="both"/>
        <w:rPr>
          <w:rFonts w:cs="Arial"/>
          <w:szCs w:val="22"/>
        </w:rPr>
      </w:pPr>
    </w:p>
    <w:p w:rsidR="00AE0844" w:rsidRDefault="00AE0844" w:rsidP="00AE0844">
      <w:pPr>
        <w:spacing w:line="240" w:lineRule="exact"/>
        <w:jc w:val="both"/>
        <w:rPr>
          <w:rFonts w:cs="Arial"/>
          <w:b/>
          <w:i/>
          <w:szCs w:val="22"/>
        </w:rPr>
      </w:pPr>
      <w:r>
        <w:rPr>
          <w:rFonts w:cs="Arial"/>
          <w:b/>
          <w:i/>
          <w:szCs w:val="22"/>
        </w:rPr>
        <w:t xml:space="preserve">Saldierungen sind nach § 10 Abs. 1 </w:t>
      </w:r>
      <w:proofErr w:type="spellStart"/>
      <w:r>
        <w:rPr>
          <w:rFonts w:cs="Arial"/>
          <w:b/>
          <w:i/>
          <w:szCs w:val="22"/>
        </w:rPr>
        <w:t>KomHKVO</w:t>
      </w:r>
      <w:proofErr w:type="spellEnd"/>
      <w:r>
        <w:rPr>
          <w:rFonts w:cs="Arial"/>
          <w:b/>
          <w:i/>
          <w:szCs w:val="22"/>
        </w:rPr>
        <w:t xml:space="preserve"> nicht zulässig.</w:t>
      </w:r>
    </w:p>
    <w:p w:rsidR="00AE0844" w:rsidRDefault="00AE0844" w:rsidP="00AE0844">
      <w:pPr>
        <w:spacing w:line="240" w:lineRule="exact"/>
        <w:jc w:val="both"/>
        <w:rPr>
          <w:rFonts w:cs="Arial"/>
          <w:szCs w:val="22"/>
        </w:rPr>
      </w:pPr>
    </w:p>
    <w:p w:rsidR="00AE0844" w:rsidRDefault="00AE0844" w:rsidP="00AE0844">
      <w:pPr>
        <w:tabs>
          <w:tab w:val="left" w:pos="0"/>
        </w:tabs>
        <w:jc w:val="both"/>
        <w:rPr>
          <w:rFonts w:cs="Arial"/>
          <w:b/>
          <w:szCs w:val="22"/>
          <w:u w:val="single"/>
        </w:rPr>
      </w:pPr>
      <w:r>
        <w:rPr>
          <w:rFonts w:cs="Arial"/>
          <w:b/>
          <w:szCs w:val="22"/>
          <w:u w:val="single"/>
        </w:rPr>
        <w:t>Bereichsabgrenzung in der Doppik</w:t>
      </w:r>
    </w:p>
    <w:p w:rsidR="00AE0844" w:rsidRDefault="00AE0844" w:rsidP="00AE0844">
      <w:pPr>
        <w:tabs>
          <w:tab w:val="left" w:pos="0"/>
        </w:tabs>
        <w:jc w:val="both"/>
        <w:rPr>
          <w:rFonts w:cs="Arial"/>
          <w:szCs w:val="22"/>
        </w:rPr>
      </w:pPr>
    </w:p>
    <w:p w:rsidR="00AE0844" w:rsidRDefault="00AE0844" w:rsidP="00AE0844">
      <w:pPr>
        <w:tabs>
          <w:tab w:val="left" w:pos="0"/>
        </w:tabs>
        <w:jc w:val="both"/>
        <w:rPr>
          <w:rFonts w:cs="Arial"/>
          <w:szCs w:val="22"/>
        </w:rPr>
      </w:pPr>
      <w:r>
        <w:rPr>
          <w:rFonts w:cs="Arial"/>
          <w:szCs w:val="22"/>
        </w:rPr>
        <w:t xml:space="preserve">Wir bitten auf die richtige Zuordnung zur Bereichsabgrenzung zu achten. Im Bereich Verbindlichkeiten (Kontenarten </w:t>
      </w:r>
      <w:r>
        <w:rPr>
          <w:rFonts w:cs="Arial"/>
          <w:b/>
          <w:szCs w:val="22"/>
        </w:rPr>
        <w:t>231</w:t>
      </w:r>
      <w:r>
        <w:rPr>
          <w:rFonts w:cs="Arial"/>
          <w:szCs w:val="22"/>
        </w:rPr>
        <w:t xml:space="preserve">, </w:t>
      </w:r>
      <w:r>
        <w:rPr>
          <w:rFonts w:cs="Arial"/>
          <w:b/>
          <w:szCs w:val="22"/>
        </w:rPr>
        <w:t>239</w:t>
      </w:r>
      <w:r>
        <w:rPr>
          <w:rFonts w:cs="Arial"/>
          <w:szCs w:val="22"/>
        </w:rPr>
        <w:t xml:space="preserve">), der zugehörigen Konten wie Aufnahmen, Tilgungen, </w:t>
      </w:r>
      <w:proofErr w:type="spellStart"/>
      <w:r>
        <w:rPr>
          <w:rFonts w:cs="Arial"/>
          <w:szCs w:val="22"/>
        </w:rPr>
        <w:t>Zinsein</w:t>
      </w:r>
      <w:proofErr w:type="spellEnd"/>
      <w:r>
        <w:rPr>
          <w:rFonts w:cs="Arial"/>
          <w:szCs w:val="22"/>
        </w:rPr>
        <w:t xml:space="preserve">- und -auszahlungen sowie Ausleihungen findet Bereichsabgrenzung </w:t>
      </w:r>
      <w:r>
        <w:rPr>
          <w:rFonts w:cs="Arial"/>
          <w:b/>
          <w:szCs w:val="22"/>
        </w:rPr>
        <w:t>B</w:t>
      </w:r>
      <w:r>
        <w:rPr>
          <w:rFonts w:cs="Arial"/>
          <w:szCs w:val="22"/>
        </w:rPr>
        <w:t xml:space="preserve"> Anwendung. Das heißt, dass Kreditinstitute i.d.R. unter Bereichsabgrenzung </w:t>
      </w:r>
      <w:r>
        <w:rPr>
          <w:rFonts w:cs="Arial"/>
          <w:b/>
          <w:szCs w:val="22"/>
        </w:rPr>
        <w:t>7</w:t>
      </w:r>
      <w:r>
        <w:rPr>
          <w:rFonts w:cs="Arial"/>
          <w:szCs w:val="22"/>
        </w:rPr>
        <w:t xml:space="preserve"> nachgewiesen werden (Weitere Information finden Sie im Internet unter: </w:t>
      </w:r>
    </w:p>
    <w:p w:rsidR="00AE0844" w:rsidRDefault="00AE0844" w:rsidP="00AE0844">
      <w:pPr>
        <w:tabs>
          <w:tab w:val="left" w:pos="0"/>
        </w:tabs>
        <w:jc w:val="both"/>
        <w:rPr>
          <w:rFonts w:cs="Arial"/>
          <w:szCs w:val="22"/>
        </w:rPr>
      </w:pPr>
      <w:r>
        <w:rPr>
          <w:rStyle w:val="Hyperlink"/>
          <w:rFonts w:cs="Arial"/>
          <w:szCs w:val="22"/>
        </w:rPr>
        <w:t>http://www.statistik.niedersachsen.de/download/88451</w:t>
      </w:r>
      <w:r>
        <w:rPr>
          <w:rFonts w:cs="Arial"/>
          <w:szCs w:val="22"/>
        </w:rPr>
        <w:t xml:space="preserve">). </w:t>
      </w:r>
    </w:p>
    <w:p w:rsidR="00AE0844" w:rsidRDefault="00AE0844" w:rsidP="00AE0844">
      <w:pPr>
        <w:spacing w:line="240" w:lineRule="exact"/>
        <w:jc w:val="both"/>
        <w:rPr>
          <w:rFonts w:cs="Arial"/>
          <w:szCs w:val="22"/>
          <w:u w:val="single"/>
        </w:rPr>
      </w:pPr>
    </w:p>
    <w:p w:rsidR="00AE0844" w:rsidRDefault="00AE0844" w:rsidP="00AE0844">
      <w:pPr>
        <w:rPr>
          <w:rFonts w:ascii="NDSFrutiger 55 Roman" w:hAnsi="NDSFrutiger 55 Roman"/>
        </w:rPr>
      </w:pPr>
    </w:p>
    <w:p w:rsidR="00AE0844" w:rsidRDefault="00AE0844" w:rsidP="00AE0844">
      <w:pPr>
        <w:rPr>
          <w:rFonts w:ascii="NDSFrutiger 55 Roman" w:hAnsi="NDSFrutiger 55 Roman"/>
        </w:rPr>
      </w:pPr>
    </w:p>
    <w:p w:rsidR="00AE0844" w:rsidRDefault="00AE0844" w:rsidP="00AE0844">
      <w:pPr>
        <w:rPr>
          <w:rFonts w:cs="Arial"/>
          <w:b/>
          <w:szCs w:val="22"/>
          <w:u w:val="single"/>
        </w:rPr>
      </w:pPr>
      <w:r>
        <w:rPr>
          <w:rFonts w:cs="Arial"/>
          <w:b/>
          <w:szCs w:val="22"/>
          <w:u w:val="single"/>
        </w:rPr>
        <w:lastRenderedPageBreak/>
        <w:t>Wohngeld</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Ab der vierteljährlichen Kassenstatistik 1. Quartal 2020 wurde die Produktgruppe 346 „Wohngeld“ nicht mehr erhoben. Da es sich bei den Ein- und Auszahlungen unterhalb dieser Produktgruppe um bewirtschaftete Fremdmittel handelt, hat das Statistische Bundesamt die Datenanforderung zu dieser Produktgruppe eingestellt. Die in Zusammenhang mit der Bearbeitung von Anträgen entstandenen Verwaltungs- und Personalkosten sowie die hierfür erhaltenen Erstattungen sind bei Produkt 3119 „Verwaltung der Sozialhilfe“ zu buchen. Bitte beachten Sie, dass somit auch die auf Konto 6481 verbuchten Zahlungen des Landes für das Wohngeld nicht mehr Teil der Erhebung sind.</w:t>
      </w:r>
    </w:p>
    <w:p w:rsidR="00AE0844" w:rsidRDefault="00AE0844" w:rsidP="00AE0844">
      <w:pPr>
        <w:jc w:val="both"/>
        <w:rPr>
          <w:rFonts w:cs="Arial"/>
          <w:szCs w:val="22"/>
        </w:rPr>
      </w:pPr>
    </w:p>
    <w:p w:rsidR="00AE0844" w:rsidRDefault="00AE0844" w:rsidP="00AE0844">
      <w:pPr>
        <w:jc w:val="both"/>
        <w:rPr>
          <w:rFonts w:cs="Arial"/>
          <w:b/>
          <w:szCs w:val="22"/>
          <w:u w:val="single"/>
        </w:rPr>
      </w:pPr>
      <w:r>
        <w:rPr>
          <w:rFonts w:cs="Arial"/>
          <w:b/>
          <w:szCs w:val="22"/>
          <w:u w:val="single"/>
        </w:rPr>
        <w:t>Finanzrechnung</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In der Finanzrechnung sind lediglich die Zahlungsströme zu melden (Ist-Zahlungen). Umbuchungen für Vorjahre, die lediglich Ertrags- und/oder Aufwandskonten betreffen, sind hier </w:t>
      </w:r>
      <w:r>
        <w:rPr>
          <w:rFonts w:cs="Arial"/>
          <w:b/>
          <w:szCs w:val="22"/>
          <w:u w:val="single"/>
        </w:rPr>
        <w:t>nicht</w:t>
      </w:r>
      <w:r>
        <w:rPr>
          <w:rFonts w:cs="Arial"/>
          <w:szCs w:val="22"/>
        </w:rPr>
        <w:t xml:space="preserve"> zu berücksichtigen.</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Schlüsselzuweisungen, Bedarfszuweisungen, sonstige allgemeine Zuweisungen</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Diese Zuweisungen müssen ebenfalls nach dem </w:t>
      </w:r>
      <w:r>
        <w:rPr>
          <w:rFonts w:cs="Arial"/>
          <w:b/>
          <w:szCs w:val="22"/>
        </w:rPr>
        <w:t>Bruttoprinzip</w:t>
      </w:r>
      <w:r>
        <w:rPr>
          <w:rFonts w:cs="Arial"/>
          <w:szCs w:val="22"/>
        </w:rPr>
        <w:t xml:space="preserve"> unter den Konten </w:t>
      </w:r>
    </w:p>
    <w:p w:rsidR="00AE0844" w:rsidRDefault="00AE0844" w:rsidP="00AE0844">
      <w:pPr>
        <w:jc w:val="both"/>
        <w:rPr>
          <w:rFonts w:cs="Arial"/>
          <w:szCs w:val="22"/>
        </w:rPr>
      </w:pPr>
    </w:p>
    <w:p w:rsidR="00AE0844" w:rsidRDefault="00AE0844" w:rsidP="00AE0844">
      <w:pPr>
        <w:jc w:val="both"/>
        <w:rPr>
          <w:rFonts w:cs="Arial"/>
          <w:szCs w:val="22"/>
        </w:rPr>
      </w:pPr>
      <w:r>
        <w:rPr>
          <w:rFonts w:cs="Arial"/>
          <w:b/>
          <w:szCs w:val="22"/>
        </w:rPr>
        <w:t>6111</w:t>
      </w:r>
      <w:r>
        <w:rPr>
          <w:rFonts w:cs="Arial"/>
          <w:szCs w:val="22"/>
        </w:rPr>
        <w:t xml:space="preserve"> (NFAG-Schlüsselzuweisungen), </w:t>
      </w:r>
    </w:p>
    <w:p w:rsidR="00AE0844" w:rsidRDefault="00AE0844" w:rsidP="00AE0844">
      <w:pPr>
        <w:jc w:val="both"/>
        <w:rPr>
          <w:rFonts w:cs="Arial"/>
          <w:szCs w:val="22"/>
        </w:rPr>
      </w:pPr>
      <w:r>
        <w:rPr>
          <w:rFonts w:cs="Arial"/>
          <w:b/>
          <w:szCs w:val="22"/>
        </w:rPr>
        <w:t>6121</w:t>
      </w:r>
      <w:r>
        <w:rPr>
          <w:rFonts w:cs="Arial"/>
          <w:szCs w:val="22"/>
        </w:rPr>
        <w:t xml:space="preserve"> (Bedarfszuweisungen), </w:t>
      </w:r>
    </w:p>
    <w:p w:rsidR="00AE0844" w:rsidRDefault="00AE0844" w:rsidP="00AE0844">
      <w:pPr>
        <w:jc w:val="both"/>
        <w:rPr>
          <w:rFonts w:cs="Arial"/>
          <w:szCs w:val="22"/>
        </w:rPr>
      </w:pPr>
      <w:r>
        <w:rPr>
          <w:rFonts w:cs="Arial"/>
          <w:b/>
          <w:szCs w:val="22"/>
        </w:rPr>
        <w:t>6130, 6131</w:t>
      </w:r>
      <w:r>
        <w:rPr>
          <w:rFonts w:cs="Arial"/>
          <w:szCs w:val="22"/>
        </w:rPr>
        <w:t xml:space="preserve"> (u.a. Zuweisungen für Aufgaben des übertragenen Wirkungskreises), </w:t>
      </w:r>
    </w:p>
    <w:p w:rsidR="00AE0844" w:rsidRDefault="00AE0844" w:rsidP="00AE0844">
      <w:pPr>
        <w:jc w:val="both"/>
        <w:rPr>
          <w:rFonts w:cs="Arial"/>
          <w:szCs w:val="22"/>
        </w:rPr>
      </w:pPr>
      <w:r>
        <w:rPr>
          <w:rFonts w:cs="Arial"/>
          <w:b/>
          <w:szCs w:val="22"/>
        </w:rPr>
        <w:t>6132</w:t>
      </w:r>
      <w:r>
        <w:rPr>
          <w:rFonts w:cs="Arial"/>
          <w:szCs w:val="22"/>
        </w:rPr>
        <w:t xml:space="preserve"> (sonstige allgemeine Zuweisungen) </w:t>
      </w:r>
    </w:p>
    <w:p w:rsidR="00AE0844" w:rsidRDefault="00AE0844" w:rsidP="00AE0844">
      <w:pPr>
        <w:jc w:val="both"/>
        <w:rPr>
          <w:rFonts w:cs="Arial"/>
          <w:szCs w:val="22"/>
        </w:rPr>
      </w:pPr>
      <w:r>
        <w:rPr>
          <w:rFonts w:cs="Arial"/>
          <w:b/>
          <w:szCs w:val="22"/>
        </w:rPr>
        <w:t>6052</w:t>
      </w:r>
      <w:r>
        <w:rPr>
          <w:rFonts w:cs="Arial"/>
          <w:szCs w:val="22"/>
        </w:rPr>
        <w:t xml:space="preserve"> (Ausgleichsleistungen d. Landes a. d. Umsetzung der Grundsicherung für Arbeitsuchende)</w:t>
      </w:r>
      <w:r w:rsidR="00486325">
        <w:rPr>
          <w:rFonts w:cs="Arial"/>
          <w:szCs w:val="22"/>
        </w:rPr>
        <w:t xml:space="preserve"> und</w:t>
      </w:r>
      <w:r>
        <w:rPr>
          <w:rFonts w:cs="Arial"/>
          <w:szCs w:val="22"/>
        </w:rPr>
        <w:t xml:space="preserve"> </w:t>
      </w:r>
    </w:p>
    <w:p w:rsidR="00AE0844" w:rsidRDefault="00AE0844" w:rsidP="00AE0844">
      <w:pPr>
        <w:jc w:val="both"/>
        <w:rPr>
          <w:rFonts w:cs="Arial"/>
          <w:szCs w:val="22"/>
        </w:rPr>
      </w:pPr>
      <w:r>
        <w:rPr>
          <w:rFonts w:cs="Arial"/>
          <w:b/>
          <w:szCs w:val="22"/>
        </w:rPr>
        <w:t>6811</w:t>
      </w:r>
      <w:r>
        <w:rPr>
          <w:rFonts w:cs="Arial"/>
          <w:szCs w:val="22"/>
        </w:rPr>
        <w:t xml:space="preserve"> (Zuweisungen für Investitionen)</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nachgewiesen werden. </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Eventuell im Zahlungsverkehr verrechnete Beträge wie Umlagezahlungen nach dem KHG (Konto </w:t>
      </w:r>
      <w:r>
        <w:rPr>
          <w:rFonts w:cs="Arial"/>
          <w:i/>
          <w:szCs w:val="22"/>
        </w:rPr>
        <w:t>7311</w:t>
      </w:r>
      <w:r>
        <w:rPr>
          <w:rFonts w:cs="Arial"/>
          <w:szCs w:val="22"/>
        </w:rPr>
        <w:t xml:space="preserve"> und </w:t>
      </w:r>
      <w:r>
        <w:rPr>
          <w:rFonts w:cs="Arial"/>
          <w:i/>
          <w:szCs w:val="22"/>
        </w:rPr>
        <w:t>7811</w:t>
      </w:r>
      <w:r>
        <w:rPr>
          <w:rFonts w:cs="Arial"/>
          <w:szCs w:val="22"/>
        </w:rPr>
        <w:t xml:space="preserve">) sowie die Finanzausgleichsumlage als allgemeine Umlage an das Land oder die Zahlungen an den Entschuldungsfonds (Konto </w:t>
      </w:r>
      <w:r>
        <w:rPr>
          <w:rFonts w:cs="Arial"/>
          <w:i/>
          <w:szCs w:val="22"/>
        </w:rPr>
        <w:t>7371</w:t>
      </w:r>
      <w:r>
        <w:rPr>
          <w:rFonts w:cs="Arial"/>
          <w:szCs w:val="22"/>
        </w:rPr>
        <w:t>) verbuchen Sie bitte auf der Ausgabenseite. Eine Saldierung ist auch hier nicht zulässig!</w:t>
      </w:r>
    </w:p>
    <w:p w:rsidR="00AE0844" w:rsidRDefault="00AE0844" w:rsidP="00AE0844">
      <w:pPr>
        <w:jc w:val="both"/>
        <w:rPr>
          <w:rFonts w:cs="Arial"/>
          <w:szCs w:val="22"/>
        </w:rPr>
      </w:pPr>
    </w:p>
    <w:p w:rsidR="00AE0844" w:rsidRDefault="00AE0844" w:rsidP="00AE0844">
      <w:pPr>
        <w:jc w:val="both"/>
        <w:rPr>
          <w:rFonts w:cs="Arial"/>
          <w:b/>
          <w:szCs w:val="22"/>
          <w:u w:val="single"/>
        </w:rPr>
      </w:pPr>
      <w:r>
        <w:rPr>
          <w:rFonts w:cs="Arial"/>
          <w:b/>
          <w:szCs w:val="22"/>
          <w:u w:val="single"/>
        </w:rPr>
        <w:t>Versorgungsrücklagen</w:t>
      </w:r>
    </w:p>
    <w:p w:rsidR="00AE0844" w:rsidRDefault="00AE0844" w:rsidP="00AE0844">
      <w:pPr>
        <w:jc w:val="both"/>
        <w:rPr>
          <w:rFonts w:cs="Arial"/>
          <w:szCs w:val="22"/>
          <w:u w:val="single"/>
        </w:rPr>
      </w:pPr>
    </w:p>
    <w:p w:rsidR="00AE0844" w:rsidRDefault="00AE0844" w:rsidP="00AE0844">
      <w:pPr>
        <w:jc w:val="both"/>
        <w:rPr>
          <w:rFonts w:cs="Arial"/>
          <w:szCs w:val="22"/>
        </w:rPr>
      </w:pPr>
      <w:r>
        <w:rPr>
          <w:rFonts w:cs="Arial"/>
          <w:szCs w:val="22"/>
        </w:rPr>
        <w:t xml:space="preserve">Die Zuführung an die Versorgungsrücklage für Beamte (Konto </w:t>
      </w:r>
      <w:r>
        <w:rPr>
          <w:rFonts w:cs="Arial"/>
          <w:i/>
          <w:szCs w:val="22"/>
        </w:rPr>
        <w:t>78651</w:t>
      </w:r>
      <w:r>
        <w:rPr>
          <w:rFonts w:cs="Arial"/>
          <w:szCs w:val="22"/>
        </w:rPr>
        <w:t xml:space="preserve">) sowie die Zuführung an die Versorgungsrücklage für Versorgungsempfänger (Konto </w:t>
      </w:r>
      <w:r>
        <w:rPr>
          <w:rFonts w:cs="Arial"/>
          <w:i/>
          <w:szCs w:val="22"/>
        </w:rPr>
        <w:t>78652</w:t>
      </w:r>
      <w:r>
        <w:rPr>
          <w:rFonts w:cs="Arial"/>
          <w:szCs w:val="22"/>
        </w:rPr>
        <w:t xml:space="preserve">) sind gesondert darzustellen. Zinserträge aus der Anlage der Versorgungsrücklage sind unter Konto </w:t>
      </w:r>
      <w:r>
        <w:rPr>
          <w:rFonts w:cs="Arial"/>
          <w:i/>
          <w:szCs w:val="22"/>
        </w:rPr>
        <w:t>6699</w:t>
      </w:r>
      <w:r>
        <w:rPr>
          <w:rFonts w:cs="Arial"/>
          <w:szCs w:val="22"/>
        </w:rPr>
        <w:t xml:space="preserve"> zu buchen. Für die Buchung von Entnahmen aus der Versorgungsrücklage ist ab 2018 das Konto </w:t>
      </w:r>
      <w:r>
        <w:rPr>
          <w:rFonts w:cs="Arial"/>
          <w:i/>
          <w:szCs w:val="22"/>
        </w:rPr>
        <w:t>68651</w:t>
      </w:r>
      <w:r>
        <w:rPr>
          <w:rFonts w:cs="Arial"/>
          <w:szCs w:val="22"/>
        </w:rPr>
        <w:t xml:space="preserve"> „Einzahlungen aus der Veräußerung von Wertpapieren (Entnahmen aus der Versorgungsrücklage)“ eingerichtet worden.</w:t>
      </w:r>
    </w:p>
    <w:p w:rsidR="00AE0844" w:rsidRDefault="00AE0844" w:rsidP="00AE0844">
      <w:pPr>
        <w:jc w:val="both"/>
        <w:rPr>
          <w:rFonts w:cs="Arial"/>
          <w:szCs w:val="22"/>
        </w:rPr>
      </w:pPr>
    </w:p>
    <w:p w:rsidR="00AE0844" w:rsidRDefault="00AE0844" w:rsidP="00AE0844">
      <w:pPr>
        <w:jc w:val="both"/>
        <w:rPr>
          <w:rFonts w:cs="Arial"/>
          <w:b/>
          <w:szCs w:val="22"/>
          <w:u w:val="single"/>
        </w:rPr>
      </w:pPr>
      <w:r>
        <w:rPr>
          <w:rFonts w:cs="Arial"/>
          <w:b/>
          <w:szCs w:val="22"/>
          <w:u w:val="single"/>
        </w:rPr>
        <w:t>Sozialtransferauszahlungen/Soziale Leistungen</w:t>
      </w:r>
    </w:p>
    <w:p w:rsidR="00AE0844" w:rsidRDefault="00AE0844" w:rsidP="00AE0844">
      <w:pPr>
        <w:jc w:val="both"/>
        <w:rPr>
          <w:rFonts w:cs="Arial"/>
          <w:szCs w:val="22"/>
        </w:rPr>
      </w:pPr>
    </w:p>
    <w:p w:rsidR="00AE0844" w:rsidRPr="0061054A" w:rsidRDefault="00AE0844" w:rsidP="0061054A">
      <w:pPr>
        <w:jc w:val="both"/>
        <w:rPr>
          <w:rFonts w:cs="Arial"/>
          <w:szCs w:val="22"/>
        </w:rPr>
      </w:pPr>
      <w:r>
        <w:rPr>
          <w:rFonts w:cs="Arial"/>
          <w:szCs w:val="22"/>
        </w:rPr>
        <w:t xml:space="preserve">Bei der Erfassung der Sozialen Leistungen an natürliche Personen innerhalb bzw. außerhalb von Einrichtungen (Konto </w:t>
      </w:r>
      <w:r>
        <w:rPr>
          <w:rFonts w:cs="Arial"/>
          <w:i/>
          <w:szCs w:val="22"/>
        </w:rPr>
        <w:t>7331</w:t>
      </w:r>
      <w:r>
        <w:rPr>
          <w:rFonts w:cs="Arial"/>
          <w:szCs w:val="22"/>
        </w:rPr>
        <w:t xml:space="preserve"> bzw. Konto </w:t>
      </w:r>
      <w:r>
        <w:rPr>
          <w:rFonts w:cs="Arial"/>
          <w:i/>
          <w:szCs w:val="22"/>
        </w:rPr>
        <w:t>7332</w:t>
      </w:r>
      <w:r>
        <w:rPr>
          <w:rFonts w:cs="Arial"/>
          <w:szCs w:val="22"/>
        </w:rPr>
        <w:t xml:space="preserve">) ist bei der Kinder-, Jugend-, und Familienhilfe darauf zu achten, dass die Konten mit dem Produktbereich </w:t>
      </w:r>
      <w:r>
        <w:rPr>
          <w:rFonts w:cs="Arial"/>
          <w:i/>
          <w:szCs w:val="22"/>
        </w:rPr>
        <w:t>36</w:t>
      </w:r>
      <w:r>
        <w:rPr>
          <w:rFonts w:cs="Arial"/>
          <w:szCs w:val="22"/>
        </w:rPr>
        <w:t xml:space="preserve"> abgefragt werden. Weiterhin ist darauf zu achten, dass ausschließlich die im Kontenkatalog vorgegebenen Produkt-Konto</w:t>
      </w:r>
      <w:r w:rsidR="00486325">
        <w:rPr>
          <w:rFonts w:cs="Arial"/>
          <w:szCs w:val="22"/>
        </w:rPr>
        <w:t>-</w:t>
      </w:r>
      <w:r>
        <w:rPr>
          <w:rFonts w:cs="Arial"/>
          <w:szCs w:val="22"/>
        </w:rPr>
        <w:t>Kombinationen zulässig sind. Analog zur Asylbewerberleistungsstatistik sind ab dem Haushaltsjahr 2017 für die Buchungen der Leistungen nach dem Asylbewerberleistungsgesetz (</w:t>
      </w:r>
      <w:proofErr w:type="spellStart"/>
      <w:r>
        <w:rPr>
          <w:rFonts w:cs="Arial"/>
          <w:szCs w:val="22"/>
        </w:rPr>
        <w:t>AsylblG</w:t>
      </w:r>
      <w:proofErr w:type="spellEnd"/>
      <w:r>
        <w:rPr>
          <w:rFonts w:cs="Arial"/>
          <w:szCs w:val="22"/>
        </w:rPr>
        <w:t xml:space="preserve">) bei Produktgruppe </w:t>
      </w:r>
      <w:r>
        <w:rPr>
          <w:rFonts w:cs="Arial"/>
          <w:i/>
          <w:szCs w:val="22"/>
        </w:rPr>
        <w:t>313</w:t>
      </w:r>
      <w:r>
        <w:rPr>
          <w:rFonts w:cs="Arial"/>
          <w:szCs w:val="22"/>
        </w:rPr>
        <w:t xml:space="preserve"> die Konten </w:t>
      </w:r>
      <w:r>
        <w:rPr>
          <w:rFonts w:cs="Arial"/>
          <w:i/>
          <w:szCs w:val="22"/>
        </w:rPr>
        <w:t>7331</w:t>
      </w:r>
      <w:r>
        <w:rPr>
          <w:rFonts w:cs="Arial"/>
          <w:szCs w:val="22"/>
        </w:rPr>
        <w:t xml:space="preserve"> „Soziale Leistungen an natürliche Personen außerhalb von Einrichtungen“ und </w:t>
      </w:r>
      <w:r>
        <w:rPr>
          <w:rFonts w:cs="Arial"/>
          <w:i/>
          <w:szCs w:val="22"/>
        </w:rPr>
        <w:t>7332</w:t>
      </w:r>
      <w:r>
        <w:rPr>
          <w:rFonts w:cs="Arial"/>
          <w:szCs w:val="22"/>
        </w:rPr>
        <w:t xml:space="preserve"> „Soziale Leistungen an natürliche Personen in Einrichtungen“ vorgesehen.</w:t>
      </w:r>
    </w:p>
    <w:p w:rsidR="00AE0844" w:rsidRDefault="00AE0844" w:rsidP="00AE0844">
      <w:pPr>
        <w:spacing w:line="240" w:lineRule="exact"/>
        <w:jc w:val="both"/>
        <w:rPr>
          <w:rFonts w:cs="Arial"/>
          <w:b/>
          <w:szCs w:val="22"/>
          <w:u w:val="single"/>
        </w:rPr>
      </w:pPr>
      <w:r>
        <w:rPr>
          <w:rFonts w:cs="Arial"/>
          <w:b/>
          <w:szCs w:val="22"/>
          <w:u w:val="single"/>
        </w:rPr>
        <w:lastRenderedPageBreak/>
        <w:t>Steuereinnahmen</w:t>
      </w:r>
    </w:p>
    <w:p w:rsidR="00AE0844" w:rsidRDefault="00AE0844" w:rsidP="00AE0844">
      <w:pPr>
        <w:spacing w:line="240" w:lineRule="exact"/>
        <w:jc w:val="both"/>
        <w:rPr>
          <w:rFonts w:cs="Arial"/>
          <w:szCs w:val="22"/>
        </w:rPr>
      </w:pPr>
    </w:p>
    <w:p w:rsidR="00AE0844" w:rsidRDefault="00AE0844" w:rsidP="00AE0844">
      <w:pPr>
        <w:jc w:val="both"/>
        <w:rPr>
          <w:rFonts w:cs="Arial"/>
          <w:szCs w:val="22"/>
        </w:rPr>
      </w:pPr>
      <w:r>
        <w:rPr>
          <w:rFonts w:cs="Arial"/>
          <w:szCs w:val="22"/>
        </w:rPr>
        <w:t xml:space="preserve">Bitte weisen Sie die Beträge für </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die Gewerbesteuerumlage</w:t>
      </w:r>
    </w:p>
    <w:p w:rsidR="00AE0844" w:rsidRDefault="00AE0844" w:rsidP="00AE0844">
      <w:pPr>
        <w:jc w:val="both"/>
        <w:rPr>
          <w:rFonts w:cs="Arial"/>
          <w:szCs w:val="22"/>
        </w:rPr>
      </w:pPr>
      <w:r>
        <w:rPr>
          <w:rFonts w:cs="Arial"/>
          <w:szCs w:val="22"/>
        </w:rPr>
        <w:t>- den Gemeindeanteil an der Einkommensteuer und</w:t>
      </w:r>
    </w:p>
    <w:p w:rsidR="00AE0844" w:rsidRDefault="00AE0844" w:rsidP="00AE0844">
      <w:pPr>
        <w:jc w:val="both"/>
        <w:rPr>
          <w:rFonts w:cs="Arial"/>
          <w:szCs w:val="22"/>
        </w:rPr>
      </w:pPr>
      <w:r>
        <w:rPr>
          <w:rFonts w:cs="Arial"/>
          <w:szCs w:val="22"/>
        </w:rPr>
        <w:t>- den Gemeindeanteil an der Umsatzsteuer</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für den Zeitraum aus, in dem die Zahlungen verbucht worden sind (Prinzip der Kassenwirksamkeit). </w:t>
      </w:r>
      <w:r>
        <w:rPr>
          <w:rFonts w:cs="Arial"/>
          <w:b/>
          <w:szCs w:val="22"/>
        </w:rPr>
        <w:t>Es sind immer die Bruttobeträge nachzuweisen.</w:t>
      </w:r>
      <w:r>
        <w:rPr>
          <w:rFonts w:cs="Arial"/>
          <w:szCs w:val="22"/>
        </w:rPr>
        <w:t xml:space="preserve"> Abschlussbuchungen bei Steuereinnahmen, die nach Ende des Jahres getätigt werden, sind entsprechend der Kassenwirksamkeit im folgenden Jahr anzugeben. </w:t>
      </w:r>
    </w:p>
    <w:p w:rsidR="00AE0844" w:rsidRDefault="00AE0844" w:rsidP="00AE0844">
      <w:pPr>
        <w:jc w:val="both"/>
        <w:rPr>
          <w:rFonts w:cs="Arial"/>
          <w:szCs w:val="22"/>
        </w:rPr>
      </w:pPr>
    </w:p>
    <w:p w:rsidR="00AE0844" w:rsidRDefault="00AE0844" w:rsidP="00AE0844">
      <w:pPr>
        <w:jc w:val="both"/>
        <w:rPr>
          <w:rFonts w:cs="Arial"/>
          <w:b/>
          <w:szCs w:val="22"/>
          <w:u w:val="single"/>
        </w:rPr>
      </w:pPr>
      <w:r>
        <w:rPr>
          <w:rFonts w:cs="Arial"/>
          <w:b/>
          <w:szCs w:val="22"/>
          <w:u w:val="single"/>
        </w:rPr>
        <w:t>Kreisschulbaukasse (KSBK)</w:t>
      </w:r>
    </w:p>
    <w:p w:rsidR="00AE0844" w:rsidRDefault="00AE0844" w:rsidP="00AE0844">
      <w:pPr>
        <w:jc w:val="both"/>
        <w:rPr>
          <w:rFonts w:cs="Arial"/>
          <w:szCs w:val="22"/>
        </w:rPr>
      </w:pPr>
    </w:p>
    <w:p w:rsidR="00AE0844" w:rsidRDefault="00AE0844" w:rsidP="00AE0844">
      <w:pPr>
        <w:jc w:val="both"/>
        <w:rPr>
          <w:rFonts w:cs="Arial"/>
          <w:szCs w:val="22"/>
          <w:u w:val="single"/>
        </w:rPr>
      </w:pPr>
      <w:r>
        <w:rPr>
          <w:rFonts w:cs="Arial"/>
          <w:szCs w:val="22"/>
        </w:rPr>
        <w:t>Zahlungswege sind in der Finanzrechnung wie folgt darzustellen:</w:t>
      </w:r>
    </w:p>
    <w:p w:rsidR="00AE0844" w:rsidRDefault="00AE0844" w:rsidP="00AE0844">
      <w:pPr>
        <w:jc w:val="both"/>
        <w:rPr>
          <w:rFonts w:cs="Arial"/>
          <w:szCs w:val="22"/>
        </w:rPr>
      </w:pPr>
      <w:r>
        <w:rPr>
          <w:rFonts w:cs="Arial"/>
          <w:szCs w:val="22"/>
        </w:rPr>
        <w:t>Ein- und Auszahlungen in die KSBK bei Landkreis und Gemeinden</w:t>
      </w:r>
      <w:r>
        <w:rPr>
          <w:rFonts w:cs="Arial"/>
          <w:szCs w:val="22"/>
        </w:rPr>
        <w:tab/>
      </w:r>
      <w:r>
        <w:rPr>
          <w:rFonts w:cs="Arial"/>
          <w:szCs w:val="22"/>
        </w:rPr>
        <w:sym w:font="Wingdings" w:char="F0E8"/>
      </w:r>
      <w:r>
        <w:rPr>
          <w:rFonts w:cs="Arial"/>
          <w:szCs w:val="22"/>
        </w:rPr>
        <w:t xml:space="preserve"> </w:t>
      </w:r>
      <w:proofErr w:type="gramStart"/>
      <w:r>
        <w:rPr>
          <w:rFonts w:cs="Arial"/>
          <w:szCs w:val="22"/>
        </w:rPr>
        <w:t xml:space="preserve">Konten  </w:t>
      </w:r>
      <w:r>
        <w:rPr>
          <w:rFonts w:cs="Arial"/>
          <w:i/>
          <w:szCs w:val="22"/>
        </w:rPr>
        <w:t>6812</w:t>
      </w:r>
      <w:proofErr w:type="gramEnd"/>
      <w:r>
        <w:rPr>
          <w:rFonts w:cs="Arial"/>
          <w:i/>
          <w:szCs w:val="22"/>
        </w:rPr>
        <w:t xml:space="preserve"> / 7812</w:t>
      </w:r>
    </w:p>
    <w:p w:rsidR="00AE0844" w:rsidRDefault="00AE0844" w:rsidP="00AE0844">
      <w:pPr>
        <w:jc w:val="both"/>
        <w:rPr>
          <w:rFonts w:cs="Arial"/>
          <w:szCs w:val="22"/>
        </w:rPr>
      </w:pPr>
      <w:r>
        <w:rPr>
          <w:rFonts w:cs="Arial"/>
          <w:szCs w:val="22"/>
        </w:rPr>
        <w:t>Buchung bei LK (KSBK)</w:t>
      </w:r>
      <w:r>
        <w:rPr>
          <w:rFonts w:cs="Arial"/>
          <w:szCs w:val="22"/>
        </w:rPr>
        <w:tab/>
      </w:r>
      <w:r w:rsidR="007E0A17">
        <w:rPr>
          <w:rFonts w:cs="Arial"/>
          <w:szCs w:val="22"/>
        </w:rPr>
        <w:tab/>
      </w:r>
      <w:r w:rsidR="007E0A17">
        <w:rPr>
          <w:rFonts w:cs="Arial"/>
          <w:szCs w:val="22"/>
        </w:rPr>
        <w:tab/>
      </w:r>
      <w:r w:rsidR="007E0A17">
        <w:rPr>
          <w:rFonts w:cs="Arial"/>
          <w:szCs w:val="22"/>
        </w:rPr>
        <w:tab/>
      </w:r>
      <w:r w:rsidR="007E0A17">
        <w:rPr>
          <w:rFonts w:cs="Arial"/>
          <w:szCs w:val="22"/>
        </w:rPr>
        <w:tab/>
      </w:r>
      <w:r w:rsidR="007E0A17">
        <w:rPr>
          <w:rFonts w:cs="Arial"/>
          <w:szCs w:val="22"/>
        </w:rPr>
        <w:tab/>
      </w:r>
      <w:r w:rsidR="007E0A17">
        <w:rPr>
          <w:rFonts w:cs="Arial"/>
          <w:szCs w:val="22"/>
        </w:rPr>
        <w:tab/>
      </w:r>
      <w:r>
        <w:rPr>
          <w:rFonts w:cs="Arial"/>
          <w:szCs w:val="22"/>
        </w:rPr>
        <w:sym w:font="Wingdings" w:char="F0E8"/>
      </w:r>
      <w:r>
        <w:rPr>
          <w:rFonts w:cs="Arial"/>
          <w:szCs w:val="22"/>
        </w:rPr>
        <w:t xml:space="preserve"> Konto   </w:t>
      </w:r>
      <w:r>
        <w:rPr>
          <w:rFonts w:cs="Arial"/>
          <w:i/>
          <w:szCs w:val="22"/>
        </w:rPr>
        <w:t xml:space="preserve"> 6812</w:t>
      </w:r>
    </w:p>
    <w:p w:rsidR="00AE0844" w:rsidRDefault="00AE0844" w:rsidP="00AE0844">
      <w:pPr>
        <w:jc w:val="both"/>
        <w:rPr>
          <w:rFonts w:cs="Arial"/>
          <w:szCs w:val="22"/>
        </w:rPr>
      </w:pPr>
      <w:r>
        <w:rPr>
          <w:rFonts w:cs="Arial"/>
          <w:szCs w:val="22"/>
        </w:rPr>
        <w:t>Kreditaufnahme/-tilgung bei der KSBK bei Landkreis und Gemeinden</w:t>
      </w:r>
      <w:r>
        <w:rPr>
          <w:rFonts w:cs="Arial"/>
          <w:szCs w:val="22"/>
        </w:rPr>
        <w:tab/>
      </w:r>
      <w:r>
        <w:rPr>
          <w:rFonts w:cs="Arial"/>
          <w:szCs w:val="22"/>
        </w:rPr>
        <w:sym w:font="Wingdings" w:char="F0E8"/>
      </w:r>
      <w:r>
        <w:rPr>
          <w:rFonts w:cs="Arial"/>
          <w:szCs w:val="22"/>
        </w:rPr>
        <w:t xml:space="preserve"> </w:t>
      </w:r>
      <w:proofErr w:type="gramStart"/>
      <w:r>
        <w:rPr>
          <w:rFonts w:cs="Arial"/>
          <w:szCs w:val="22"/>
        </w:rPr>
        <w:t xml:space="preserve">Konten  </w:t>
      </w:r>
      <w:r>
        <w:rPr>
          <w:rFonts w:cs="Arial"/>
          <w:i/>
          <w:szCs w:val="22"/>
        </w:rPr>
        <w:t>6922</w:t>
      </w:r>
      <w:proofErr w:type="gramEnd"/>
      <w:r>
        <w:rPr>
          <w:rFonts w:cs="Arial"/>
          <w:i/>
          <w:szCs w:val="22"/>
        </w:rPr>
        <w:t xml:space="preserve"> / 7922</w:t>
      </w:r>
    </w:p>
    <w:p w:rsidR="00AE0844" w:rsidRDefault="00AE0844" w:rsidP="00AE0844">
      <w:pPr>
        <w:jc w:val="both"/>
        <w:rPr>
          <w:rFonts w:cs="Arial"/>
          <w:szCs w:val="22"/>
        </w:rPr>
      </w:pPr>
      <w:r>
        <w:rPr>
          <w:rFonts w:cs="Arial"/>
          <w:szCs w:val="22"/>
        </w:rPr>
        <w:t xml:space="preserve">Buchung bei LK (KSBK)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sym w:font="Wingdings" w:char="F0E8"/>
      </w:r>
      <w:r>
        <w:rPr>
          <w:rFonts w:cs="Arial"/>
          <w:szCs w:val="22"/>
        </w:rPr>
        <w:t xml:space="preserve"> </w:t>
      </w:r>
      <w:proofErr w:type="gramStart"/>
      <w:r>
        <w:rPr>
          <w:rFonts w:cs="Arial"/>
          <w:szCs w:val="22"/>
        </w:rPr>
        <w:t xml:space="preserve">Konten  </w:t>
      </w:r>
      <w:r>
        <w:rPr>
          <w:rFonts w:cs="Arial"/>
          <w:i/>
          <w:szCs w:val="22"/>
        </w:rPr>
        <w:t>6882</w:t>
      </w:r>
      <w:proofErr w:type="gramEnd"/>
      <w:r>
        <w:rPr>
          <w:rFonts w:cs="Arial"/>
          <w:i/>
          <w:szCs w:val="22"/>
        </w:rPr>
        <w:t xml:space="preserve"> / 7882</w:t>
      </w:r>
    </w:p>
    <w:p w:rsidR="00AE0844" w:rsidRDefault="00AE0844" w:rsidP="00AE0844">
      <w:pPr>
        <w:jc w:val="both"/>
        <w:rPr>
          <w:rFonts w:cs="Arial"/>
          <w:b/>
          <w:szCs w:val="22"/>
        </w:rPr>
      </w:pPr>
      <w:r>
        <w:rPr>
          <w:rFonts w:cs="Arial"/>
          <w:szCs w:val="22"/>
        </w:rPr>
        <w:t xml:space="preserve">Zuwendungen (nicht rückzahlbar) bei Landkreis und Gemeinden </w:t>
      </w:r>
      <w:r>
        <w:rPr>
          <w:rFonts w:cs="Arial"/>
          <w:szCs w:val="22"/>
        </w:rPr>
        <w:tab/>
      </w:r>
      <w:r>
        <w:rPr>
          <w:rFonts w:cs="Arial"/>
          <w:szCs w:val="22"/>
        </w:rPr>
        <w:tab/>
      </w:r>
      <w:r>
        <w:rPr>
          <w:rFonts w:cs="Arial"/>
          <w:szCs w:val="22"/>
        </w:rPr>
        <w:sym w:font="Wingdings" w:char="F0E8"/>
      </w:r>
      <w:r>
        <w:rPr>
          <w:rFonts w:cs="Arial"/>
          <w:szCs w:val="22"/>
        </w:rPr>
        <w:t xml:space="preserve"> </w:t>
      </w:r>
      <w:proofErr w:type="gramStart"/>
      <w:r>
        <w:rPr>
          <w:rFonts w:cs="Arial"/>
          <w:szCs w:val="22"/>
        </w:rPr>
        <w:t xml:space="preserve">Konten  </w:t>
      </w:r>
      <w:r>
        <w:rPr>
          <w:rFonts w:cs="Arial"/>
          <w:i/>
          <w:szCs w:val="22"/>
        </w:rPr>
        <w:t>6812</w:t>
      </w:r>
      <w:proofErr w:type="gramEnd"/>
      <w:r>
        <w:rPr>
          <w:rFonts w:cs="Arial"/>
          <w:i/>
          <w:szCs w:val="22"/>
        </w:rPr>
        <w:t xml:space="preserve"> / 7812</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Ein Buchungsbeispiel finden Sie im Internet auf den Seiten des </w:t>
      </w:r>
      <w:r w:rsidR="007E0A17">
        <w:rPr>
          <w:rFonts w:cs="Arial"/>
          <w:szCs w:val="22"/>
        </w:rPr>
        <w:t>N</w:t>
      </w:r>
      <w:r>
        <w:rPr>
          <w:rFonts w:cs="Arial"/>
          <w:szCs w:val="22"/>
        </w:rPr>
        <w:t xml:space="preserve">iedersächsischen Ministeriums für Inneres und Sport unter </w:t>
      </w:r>
      <w:hyperlink r:id="rId18" w:history="1">
        <w:r>
          <w:rPr>
            <w:rStyle w:val="Hyperlink"/>
            <w:rFonts w:cs="Arial"/>
            <w:szCs w:val="22"/>
          </w:rPr>
          <w:t>www.mi.niedersachsen.de/download/35257</w:t>
        </w:r>
      </w:hyperlink>
      <w:r>
        <w:rPr>
          <w:rFonts w:cs="Arial"/>
          <w:szCs w:val="22"/>
        </w:rPr>
        <w:t>.</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Weitere Buchungsbeispiele finden Sie unter </w:t>
      </w:r>
      <w:r>
        <w:rPr>
          <w:rFonts w:cs="Arial"/>
          <w:szCs w:val="22"/>
          <w:u w:val="single"/>
        </w:rPr>
        <w:t>www.mi.niedersachsen.de</w:t>
      </w:r>
      <w:r>
        <w:rPr>
          <w:rFonts w:cs="Arial"/>
          <w:szCs w:val="22"/>
        </w:rPr>
        <w:t xml:space="preserve"> unter:</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Themen / Kommunen / Kommunales Haushaltsrecht / Hinweise und Buchungsbeispiele </w:t>
      </w:r>
    </w:p>
    <w:p w:rsidR="00AE0844" w:rsidRDefault="00AE0844" w:rsidP="00AE0844">
      <w:pPr>
        <w:jc w:val="both"/>
        <w:rPr>
          <w:rFonts w:cs="Arial"/>
          <w:szCs w:val="22"/>
        </w:rPr>
      </w:pPr>
    </w:p>
    <w:p w:rsidR="00AE0844" w:rsidRDefault="00AE0844" w:rsidP="00AE0844">
      <w:pPr>
        <w:jc w:val="both"/>
        <w:rPr>
          <w:rFonts w:cs="Arial"/>
          <w:b/>
          <w:szCs w:val="22"/>
          <w:u w:val="single"/>
        </w:rPr>
      </w:pPr>
      <w:r>
        <w:rPr>
          <w:rFonts w:cs="Arial"/>
          <w:b/>
          <w:szCs w:val="22"/>
          <w:u w:val="single"/>
        </w:rPr>
        <w:t>Baumaßnahmen</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Baumaßnahmen müssen unter den Konten </w:t>
      </w:r>
      <w:r>
        <w:rPr>
          <w:rFonts w:cs="Arial"/>
          <w:i/>
          <w:szCs w:val="22"/>
        </w:rPr>
        <w:t>7871</w:t>
      </w:r>
      <w:r>
        <w:rPr>
          <w:rFonts w:cs="Arial"/>
          <w:szCs w:val="22"/>
        </w:rPr>
        <w:t xml:space="preserve"> bis </w:t>
      </w:r>
      <w:r>
        <w:rPr>
          <w:rFonts w:cs="Arial"/>
          <w:i/>
          <w:szCs w:val="22"/>
        </w:rPr>
        <w:t>7873</w:t>
      </w:r>
      <w:r>
        <w:rPr>
          <w:rFonts w:cs="Arial"/>
          <w:szCs w:val="22"/>
        </w:rPr>
        <w:t xml:space="preserve"> nachgewiesen werden. Zusätzlich wird die Aufteilung auf die einzelnen Produktgruppen erfragt. Produktgruppen, die nicht Bestandteil des Kontenkataloges sind, werden von uns als „Sonstige Baumaßnahmen“ ergänzt.</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Grundsätzlich ist eine Ausweisung von Baumaßnahmen bei einer zentralen Produktgruppe (wie beispielsweise Produktgruppe </w:t>
      </w:r>
      <w:r>
        <w:rPr>
          <w:rFonts w:cs="Arial"/>
          <w:i/>
          <w:szCs w:val="22"/>
        </w:rPr>
        <w:t>111</w:t>
      </w:r>
      <w:r>
        <w:rPr>
          <w:rFonts w:cs="Arial"/>
          <w:szCs w:val="22"/>
        </w:rPr>
        <w:t>, Verwaltungssteuerung, Grundstücksmanagement) nicht zulässig. Nach Vorgaben des NKR sind alle Finanzvorgänge verursachungsgerecht der entsprechenden Produktgruppe bzw. dem Produkt zuzuordnen. Im Hinblick auf die Vergleichbarkeit der Finanzvorfälle aller niedersächsischen Kommunen bitte ich die Einhaltung dieser Buchungsvorgabe unbedingt zu beachten!</w:t>
      </w:r>
    </w:p>
    <w:p w:rsidR="00AE0844" w:rsidRDefault="00AE0844" w:rsidP="00AE0844">
      <w:pPr>
        <w:jc w:val="both"/>
        <w:rPr>
          <w:rFonts w:cs="Arial"/>
          <w:szCs w:val="22"/>
        </w:rPr>
      </w:pPr>
    </w:p>
    <w:p w:rsidR="00AE0844" w:rsidRDefault="00AE0844" w:rsidP="00AE0844">
      <w:pPr>
        <w:jc w:val="both"/>
        <w:rPr>
          <w:rFonts w:cs="Arial"/>
          <w:b/>
          <w:szCs w:val="22"/>
          <w:u w:val="single"/>
        </w:rPr>
      </w:pPr>
      <w:r>
        <w:rPr>
          <w:rFonts w:cs="Arial"/>
          <w:b/>
          <w:szCs w:val="22"/>
          <w:u w:val="single"/>
        </w:rPr>
        <w:t>Verbindlichkeiten</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Bei der Darstellung der Verbindlichkeiten ist auf eine nachvollziehbare Abbildung der Bilanz</w:t>
      </w:r>
      <w:r w:rsidR="000A7856">
        <w:rPr>
          <w:rFonts w:cs="Arial"/>
          <w:szCs w:val="22"/>
        </w:rPr>
        <w:t>-</w:t>
      </w:r>
      <w:r>
        <w:rPr>
          <w:rFonts w:cs="Arial"/>
          <w:szCs w:val="22"/>
        </w:rPr>
        <w:t xml:space="preserve"> und Finanzkonten zu achten. Aufnahmen, Tilgungen und Zinszahlungen müssen mit den Bewegungen und Beständen auf den Bilanzkonten plausibel einhergehen.</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Auf die richtige Zuordnung der </w:t>
      </w:r>
      <w:r>
        <w:rPr>
          <w:rFonts w:cs="Arial"/>
          <w:i/>
          <w:szCs w:val="22"/>
          <w:u w:val="single"/>
        </w:rPr>
        <w:t>Bereichsabgrenzung (Teil B)</w:t>
      </w:r>
      <w:r>
        <w:rPr>
          <w:rFonts w:cs="Arial"/>
          <w:szCs w:val="22"/>
        </w:rPr>
        <w:t xml:space="preserve"> bitte ich unbedingt zu achten. Verbindlichkeiten bei öffentlich bestimmten Kreditinstituten sind hier unter der Bereichsabgrenzung „7“ einzuordnen.</w:t>
      </w:r>
    </w:p>
    <w:p w:rsidR="00AE0844" w:rsidRDefault="00AE0844" w:rsidP="00AE0844">
      <w:pPr>
        <w:jc w:val="both"/>
        <w:rPr>
          <w:rFonts w:cs="Arial"/>
          <w:szCs w:val="22"/>
        </w:rPr>
      </w:pPr>
    </w:p>
    <w:p w:rsidR="00AE0844" w:rsidRDefault="00AE0844" w:rsidP="00AE0844">
      <w:pPr>
        <w:jc w:val="both"/>
        <w:rPr>
          <w:rFonts w:cs="Arial"/>
          <w:b/>
          <w:szCs w:val="22"/>
          <w:u w:val="single"/>
        </w:rPr>
      </w:pPr>
      <w:r>
        <w:rPr>
          <w:rFonts w:cs="Arial"/>
          <w:b/>
          <w:szCs w:val="22"/>
          <w:u w:val="single"/>
        </w:rPr>
        <w:lastRenderedPageBreak/>
        <w:t>Liquiditätskredite</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Aus gegebenem Anlass möchte ich darauf hinweisen, dass Kontokorrentkredite („Überziehungskredite“, „Dispo“) zu den Liquiditätskrediten (Konto </w:t>
      </w:r>
      <w:r>
        <w:rPr>
          <w:rFonts w:cs="Arial"/>
          <w:i/>
          <w:szCs w:val="22"/>
        </w:rPr>
        <w:t>239</w:t>
      </w:r>
      <w:r>
        <w:rPr>
          <w:rFonts w:cs="Arial"/>
          <w:szCs w:val="22"/>
        </w:rPr>
        <w:t xml:space="preserve"> ff.) zählen und dort dargestellt werden müssen. Ebenso rein rechnerische Verbindlichkeiten, die sich durch die gemeinsame Nutzung eines Bankkontos (Cash-Pooling) ergeben (siehe auch Seite 5).</w:t>
      </w:r>
    </w:p>
    <w:p w:rsidR="00AE0844" w:rsidRDefault="00AE0844" w:rsidP="00AE0844">
      <w:pPr>
        <w:jc w:val="both"/>
        <w:rPr>
          <w:rFonts w:cs="Arial"/>
          <w:szCs w:val="22"/>
        </w:rPr>
      </w:pPr>
    </w:p>
    <w:p w:rsidR="00AE0844" w:rsidRDefault="00AE0844" w:rsidP="00AE0844">
      <w:pPr>
        <w:jc w:val="both"/>
        <w:rPr>
          <w:rFonts w:cs="Arial"/>
          <w:b/>
          <w:szCs w:val="22"/>
          <w:u w:val="single"/>
        </w:rPr>
      </w:pPr>
      <w:r>
        <w:rPr>
          <w:rFonts w:cs="Arial"/>
          <w:b/>
          <w:szCs w:val="22"/>
          <w:u w:val="single"/>
        </w:rPr>
        <w:t>Cash-Pooling</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Ab dem Erhebungsjahr 2017 sind Verbindlichkeiten aus Liquiditätskrediten, welche in einem Verbund (Samtgemeinden, Eigenbetriebe) vergeben werden, auf den Konten </w:t>
      </w:r>
      <w:r>
        <w:rPr>
          <w:rFonts w:cs="Arial"/>
          <w:i/>
          <w:szCs w:val="22"/>
        </w:rPr>
        <w:t xml:space="preserve">2724ff </w:t>
      </w:r>
      <w:r>
        <w:rPr>
          <w:rFonts w:cs="Arial"/>
          <w:szCs w:val="22"/>
        </w:rPr>
        <w:t xml:space="preserve">zu melden. Die Gegenbuchungen erfolgen auf den Konten </w:t>
      </w:r>
      <w:r>
        <w:rPr>
          <w:rFonts w:cs="Arial"/>
          <w:i/>
          <w:szCs w:val="22"/>
        </w:rPr>
        <w:t>1654ff</w:t>
      </w:r>
      <w:r>
        <w:rPr>
          <w:rFonts w:cs="Arial"/>
          <w:szCs w:val="22"/>
        </w:rPr>
        <w:t xml:space="preserve">. Diese ergeben sich insbesondere durch die gemeinsame Nutzung von (Dispositions-) Krediten auf zentral geführten Bankkonten. </w:t>
      </w:r>
      <w:r>
        <w:rPr>
          <w:rFonts w:cs="Arial"/>
          <w:szCs w:val="22"/>
          <w:u w:val="single"/>
        </w:rPr>
        <w:t>Hier ist nicht der Saldo dieses Gemeinschaftskontos zu melden, sondern die (errechneten) Bestände der einzelnen Mitglieder dieses Cash-Pools</w:t>
      </w:r>
      <w:r>
        <w:rPr>
          <w:rFonts w:cs="Arial"/>
          <w:szCs w:val="22"/>
        </w:rPr>
        <w:t xml:space="preserve">. </w:t>
      </w:r>
    </w:p>
    <w:p w:rsidR="00AE0844" w:rsidRDefault="00AE0844" w:rsidP="00AE0844">
      <w:pPr>
        <w:jc w:val="both"/>
        <w:rPr>
          <w:rFonts w:cs="Arial"/>
          <w:szCs w:val="22"/>
        </w:rPr>
      </w:pPr>
    </w:p>
    <w:p w:rsidR="00AE0844" w:rsidRDefault="00AE0844" w:rsidP="00AE0844">
      <w:pPr>
        <w:jc w:val="both"/>
        <w:rPr>
          <w:rFonts w:cs="Arial"/>
          <w:b/>
          <w:szCs w:val="22"/>
        </w:rPr>
      </w:pPr>
      <w:r>
        <w:rPr>
          <w:rFonts w:cs="Arial"/>
          <w:b/>
          <w:szCs w:val="22"/>
          <w:highlight w:val="yellow"/>
        </w:rPr>
        <w:t>Bitte beachten Sie: Die gemeinsame Verwaltung von Sichteinlagen</w:t>
      </w:r>
      <w:r w:rsidR="000A7856">
        <w:rPr>
          <w:rFonts w:cs="Arial"/>
          <w:b/>
          <w:szCs w:val="22"/>
          <w:highlight w:val="yellow"/>
        </w:rPr>
        <w:t xml:space="preserve">, </w:t>
      </w:r>
      <w:r>
        <w:rPr>
          <w:rFonts w:cs="Arial"/>
          <w:b/>
          <w:szCs w:val="22"/>
          <w:highlight w:val="yellow"/>
        </w:rPr>
        <w:t>ohne die Möglichkeit auf die Liquidität anderer zurückzugreifen, zählt nicht zu Cash-Pooling.</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Ausführliche Informationen zum Thema Cash-Pooling finden Sie in einem Merkblatt, welches aus dem Online-Formular aufgerufen werden kann und auf den Internetseiten des LSN</w:t>
      </w:r>
      <w:r w:rsidR="005A35F0">
        <w:rPr>
          <w:rFonts w:cs="Arial"/>
          <w:szCs w:val="22"/>
        </w:rPr>
        <w:t xml:space="preserve"> zu finden ist</w:t>
      </w:r>
      <w:r>
        <w:rPr>
          <w:rFonts w:cs="Arial"/>
          <w:szCs w:val="22"/>
        </w:rPr>
        <w:t>.</w:t>
      </w:r>
    </w:p>
    <w:p w:rsidR="00AE0844" w:rsidRDefault="00AE0844" w:rsidP="00AE0844">
      <w:pPr>
        <w:jc w:val="both"/>
        <w:rPr>
          <w:rFonts w:cs="Arial"/>
          <w:szCs w:val="22"/>
        </w:rPr>
      </w:pPr>
    </w:p>
    <w:p w:rsidR="00AE0844" w:rsidRDefault="00AE0844" w:rsidP="00AE0844">
      <w:pPr>
        <w:jc w:val="both"/>
        <w:rPr>
          <w:rFonts w:cs="Arial"/>
          <w:szCs w:val="22"/>
        </w:rPr>
      </w:pPr>
      <w:r>
        <w:rPr>
          <w:rFonts w:cs="Arial"/>
          <w:szCs w:val="22"/>
        </w:rPr>
        <w:t xml:space="preserve">Ich bitte darum, die Formatvorgaben verbindlich einzuhalten und bevorzuge bei Lieferung das </w:t>
      </w:r>
      <w:r>
        <w:rPr>
          <w:rFonts w:cs="Arial"/>
          <w:b/>
          <w:szCs w:val="22"/>
        </w:rPr>
        <w:t>.</w:t>
      </w:r>
      <w:proofErr w:type="spellStart"/>
      <w:r>
        <w:rPr>
          <w:rFonts w:cs="Arial"/>
          <w:b/>
          <w:szCs w:val="22"/>
        </w:rPr>
        <w:t>csv</w:t>
      </w:r>
      <w:proofErr w:type="spellEnd"/>
      <w:r>
        <w:rPr>
          <w:rFonts w:cs="Arial"/>
          <w:b/>
          <w:szCs w:val="22"/>
        </w:rPr>
        <w:t>-Format.</w:t>
      </w:r>
      <w:r>
        <w:rPr>
          <w:rFonts w:cs="Arial"/>
          <w:szCs w:val="22"/>
        </w:rPr>
        <w:t xml:space="preserve"> </w:t>
      </w: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61054A" w:rsidRDefault="0061054A" w:rsidP="0052773C">
      <w:pPr>
        <w:rPr>
          <w:rFonts w:cs="Arial"/>
          <w:b/>
        </w:rPr>
      </w:pPr>
    </w:p>
    <w:p w:rsidR="0061054A" w:rsidRDefault="0061054A" w:rsidP="0052773C">
      <w:pPr>
        <w:rPr>
          <w:rFonts w:cs="Arial"/>
          <w:b/>
        </w:rPr>
      </w:pPr>
    </w:p>
    <w:p w:rsidR="0061054A" w:rsidRDefault="0061054A" w:rsidP="0052773C">
      <w:pPr>
        <w:rPr>
          <w:rFonts w:cs="Arial"/>
          <w:b/>
        </w:rPr>
      </w:pPr>
    </w:p>
    <w:p w:rsidR="0061054A" w:rsidRDefault="0061054A"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52773C" w:rsidRDefault="0052773C" w:rsidP="0052773C">
      <w:pPr>
        <w:rPr>
          <w:rFonts w:cs="Arial"/>
          <w:b/>
        </w:rPr>
      </w:pPr>
    </w:p>
    <w:p w:rsidR="00880736" w:rsidRPr="00044902" w:rsidRDefault="00880736" w:rsidP="00880736">
      <w:pPr>
        <w:rPr>
          <w:rFonts w:cs="Arial"/>
          <w:b/>
        </w:rPr>
      </w:pPr>
      <w:r w:rsidRPr="00E73C3C">
        <w:rPr>
          <w:rFonts w:cs="Arial"/>
          <w:b/>
        </w:rPr>
        <w:lastRenderedPageBreak/>
        <w:t>Kommunale Jahresrechnungsstatistik für das Rechnungsjahr 202</w:t>
      </w:r>
      <w:r>
        <w:rPr>
          <w:rFonts w:cs="Arial"/>
          <w:b/>
        </w:rPr>
        <w:t>2</w:t>
      </w:r>
    </w:p>
    <w:p w:rsidR="00880736" w:rsidRPr="001319B1" w:rsidRDefault="00880736" w:rsidP="00880736">
      <w:pPr>
        <w:rPr>
          <w:rFonts w:cs="Arial"/>
          <w:sz w:val="16"/>
          <w:szCs w:val="16"/>
        </w:rPr>
      </w:pPr>
    </w:p>
    <w:p w:rsidR="00880736" w:rsidRPr="001319B1" w:rsidRDefault="00880736" w:rsidP="00880736">
      <w:pPr>
        <w:rPr>
          <w:rFonts w:cs="Arial"/>
        </w:rPr>
      </w:pPr>
      <w:r w:rsidRPr="001319B1">
        <w:rPr>
          <w:rFonts w:cs="Arial"/>
        </w:rPr>
        <w:t>Ansprechpartner: Herr Schuder</w:t>
      </w:r>
    </w:p>
    <w:p w:rsidR="00880736" w:rsidRPr="001319B1" w:rsidRDefault="00880736" w:rsidP="00880736">
      <w:pPr>
        <w:rPr>
          <w:rFonts w:cs="Arial"/>
        </w:rPr>
      </w:pPr>
      <w:r w:rsidRPr="001319B1">
        <w:rPr>
          <w:rFonts w:cs="Arial"/>
        </w:rPr>
        <w:t>Tel.: 0511 / 9898 32</w:t>
      </w:r>
      <w:r>
        <w:rPr>
          <w:rFonts w:cs="Arial"/>
        </w:rPr>
        <w:t>51</w:t>
      </w:r>
    </w:p>
    <w:p w:rsidR="00880736" w:rsidRPr="001319B1" w:rsidRDefault="00880736" w:rsidP="00880736">
      <w:pPr>
        <w:rPr>
          <w:rFonts w:cs="Arial"/>
        </w:rPr>
      </w:pPr>
      <w:r w:rsidRPr="001319B1">
        <w:rPr>
          <w:rFonts w:cs="Arial"/>
        </w:rPr>
        <w:t xml:space="preserve">E-Mail: </w:t>
      </w:r>
      <w:hyperlink r:id="rId19" w:history="1">
        <w:r w:rsidRPr="001319B1">
          <w:rPr>
            <w:rFonts w:cs="Arial"/>
            <w:color w:val="0000FF"/>
            <w:u w:val="single"/>
          </w:rPr>
          <w:t>Jahresrechnungsstatistik@statistik.niedersachsen.de</w:t>
        </w:r>
      </w:hyperlink>
    </w:p>
    <w:p w:rsidR="00880736" w:rsidRPr="001319B1" w:rsidRDefault="00880736" w:rsidP="00880736">
      <w:pPr>
        <w:rPr>
          <w:rFonts w:cs="Arial"/>
        </w:rPr>
      </w:pPr>
      <w:r w:rsidRPr="001319B1">
        <w:rPr>
          <w:rFonts w:cs="Arial"/>
        </w:rPr>
        <w:t>Aktenzeichen: 43.</w:t>
      </w:r>
      <w:r>
        <w:rPr>
          <w:rFonts w:cs="Arial"/>
        </w:rPr>
        <w:t>19710</w:t>
      </w:r>
    </w:p>
    <w:p w:rsidR="00880736" w:rsidRPr="001319B1" w:rsidRDefault="00880736" w:rsidP="00880736">
      <w:pPr>
        <w:rPr>
          <w:rFonts w:cs="Arial"/>
          <w:sz w:val="16"/>
          <w:szCs w:val="16"/>
        </w:rPr>
      </w:pPr>
    </w:p>
    <w:p w:rsidR="00880736" w:rsidRPr="001319B1" w:rsidRDefault="00880736" w:rsidP="00880736">
      <w:pPr>
        <w:rPr>
          <w:rFonts w:cs="Arial"/>
        </w:rPr>
      </w:pPr>
      <w:r w:rsidRPr="001319B1">
        <w:rPr>
          <w:rFonts w:cs="Arial"/>
        </w:rPr>
        <w:t xml:space="preserve">Abgabetermin: </w:t>
      </w:r>
      <w:r>
        <w:rPr>
          <w:rFonts w:cs="Arial"/>
          <w:b/>
        </w:rPr>
        <w:t>14</w:t>
      </w:r>
      <w:r w:rsidRPr="001319B1">
        <w:rPr>
          <w:rFonts w:cs="Arial"/>
          <w:b/>
        </w:rPr>
        <w:t>. April 202</w:t>
      </w:r>
      <w:r>
        <w:rPr>
          <w:rFonts w:cs="Arial"/>
          <w:b/>
        </w:rPr>
        <w:t>3</w:t>
      </w:r>
    </w:p>
    <w:p w:rsidR="00880736" w:rsidRPr="001319B1" w:rsidRDefault="00880736" w:rsidP="00880736">
      <w:pPr>
        <w:jc w:val="both"/>
        <w:rPr>
          <w:rFonts w:cs="Arial"/>
          <w:sz w:val="16"/>
          <w:szCs w:val="16"/>
        </w:rPr>
      </w:pPr>
    </w:p>
    <w:p w:rsidR="00880736" w:rsidRPr="0010506B" w:rsidRDefault="00880736" w:rsidP="00880736">
      <w:pPr>
        <w:rPr>
          <w:rFonts w:cs="Arial"/>
          <w:b/>
        </w:rPr>
      </w:pPr>
      <w:r w:rsidRPr="0010506B">
        <w:rPr>
          <w:rFonts w:cs="Arial"/>
          <w:b/>
        </w:rPr>
        <w:t>Bearbeitungshinweise:</w:t>
      </w:r>
    </w:p>
    <w:p w:rsidR="00880736" w:rsidRPr="0010506B" w:rsidRDefault="00880736" w:rsidP="00880736">
      <w:pPr>
        <w:jc w:val="both"/>
        <w:rPr>
          <w:rFonts w:cs="Arial"/>
          <w:sz w:val="16"/>
          <w:szCs w:val="16"/>
        </w:rPr>
      </w:pPr>
    </w:p>
    <w:p w:rsidR="00880736" w:rsidRPr="00346CF7" w:rsidRDefault="00880736" w:rsidP="00880736">
      <w:pPr>
        <w:jc w:val="both"/>
        <w:rPr>
          <w:rFonts w:cs="Arial"/>
        </w:rPr>
      </w:pPr>
      <w:r w:rsidRPr="0010506B">
        <w:rPr>
          <w:rFonts w:cs="Arial"/>
        </w:rPr>
        <w:t>Die Listen gültiger Konten und Produkte für die Jahresrechnungsstatistik 202</w:t>
      </w:r>
      <w:r>
        <w:rPr>
          <w:rFonts w:cs="Arial"/>
        </w:rPr>
        <w:t>2</w:t>
      </w:r>
      <w:r w:rsidRPr="0010506B">
        <w:rPr>
          <w:rFonts w:cs="Arial"/>
        </w:rPr>
        <w:t xml:space="preserve"> finden Sie im Internet unter www.statistik.niedersachsen.de</w:t>
      </w:r>
      <w:r w:rsidRPr="0010506B">
        <w:rPr>
          <w:rFonts w:cs="Arial"/>
          <w:b/>
        </w:rPr>
        <w:t xml:space="preserve"> </w:t>
      </w:r>
      <w:r w:rsidRPr="0010506B">
        <w:rPr>
          <w:rFonts w:cs="Arial"/>
        </w:rPr>
        <w:t xml:space="preserve">=&gt;Themen =&gt; Finanzen, Steuern, Personal =&gt; </w:t>
      </w:r>
      <w:r>
        <w:rPr>
          <w:rFonts w:cs="Arial"/>
        </w:rPr>
        <w:t>Finanzen in Niedersachsen</w:t>
      </w:r>
      <w:r w:rsidRPr="0010506B">
        <w:rPr>
          <w:rFonts w:cs="Arial"/>
        </w:rPr>
        <w:t xml:space="preserve"> =&gt; </w:t>
      </w:r>
      <w:r>
        <w:rPr>
          <w:rFonts w:cs="Arial"/>
        </w:rPr>
        <w:t>Kommunale Jahresrechnungsstatistik in Niedersachsen</w:t>
      </w:r>
      <w:r w:rsidRPr="0010506B">
        <w:rPr>
          <w:rFonts w:cs="Arial"/>
        </w:rPr>
        <w:t xml:space="preserve"> =&gt; </w:t>
      </w:r>
      <w:r>
        <w:rPr>
          <w:rFonts w:cs="Arial"/>
        </w:rPr>
        <w:t>Informationen für Auskunftspflichtige</w:t>
      </w:r>
      <w:r w:rsidRPr="0010506B">
        <w:rPr>
          <w:rFonts w:cs="Arial"/>
        </w:rPr>
        <w:t xml:space="preserve">. </w:t>
      </w:r>
    </w:p>
    <w:p w:rsidR="00880736" w:rsidRPr="0010506B" w:rsidRDefault="00880736" w:rsidP="00880736">
      <w:pPr>
        <w:spacing w:before="120"/>
        <w:jc w:val="both"/>
        <w:rPr>
          <w:rFonts w:cs="Arial"/>
          <w:szCs w:val="22"/>
        </w:rPr>
      </w:pPr>
      <w:r w:rsidRPr="0010506B">
        <w:rPr>
          <w:rFonts w:cs="Arial"/>
          <w:szCs w:val="22"/>
        </w:rPr>
        <w:t>Alle für das Haushaltsjahr 20</w:t>
      </w:r>
      <w:r>
        <w:rPr>
          <w:rFonts w:cs="Arial"/>
          <w:szCs w:val="22"/>
        </w:rPr>
        <w:t>22</w:t>
      </w:r>
      <w:r w:rsidRPr="0010506B">
        <w:rPr>
          <w:rFonts w:cs="Arial"/>
          <w:szCs w:val="22"/>
        </w:rPr>
        <w:t xml:space="preserve"> anzuwendenden Vorschriften finden Sie im Internet unter:</w:t>
      </w:r>
    </w:p>
    <w:p w:rsidR="00880736" w:rsidRPr="0010506B" w:rsidRDefault="00880736" w:rsidP="00880736">
      <w:pPr>
        <w:jc w:val="both"/>
        <w:rPr>
          <w:rFonts w:cs="Arial"/>
        </w:rPr>
      </w:pPr>
      <w:r w:rsidRPr="0010506B">
        <w:rPr>
          <w:rFonts w:cs="Arial"/>
          <w:szCs w:val="22"/>
        </w:rPr>
        <w:t xml:space="preserve">Landesamt für Statistik Niedersachsen – Themenbereiche – Finanzen, Steuern, Personal – Kommunale Haushaltssystematik und Doppik in Niedersachsen </w:t>
      </w:r>
      <w:r w:rsidRPr="0010506B">
        <w:rPr>
          <w:rFonts w:cs="Arial"/>
          <w:szCs w:val="22"/>
        </w:rPr>
        <w:sym w:font="Wingdings" w:char="F0E0"/>
      </w:r>
      <w:r w:rsidRPr="0010506B">
        <w:rPr>
          <w:rFonts w:cs="Arial"/>
          <w:szCs w:val="22"/>
        </w:rPr>
        <w:t xml:space="preserve"> Punkt: 3.c) Bekanntmachungen des LSN.</w:t>
      </w:r>
    </w:p>
    <w:p w:rsidR="00880736" w:rsidRPr="0010506B" w:rsidRDefault="00880736" w:rsidP="00880736">
      <w:pPr>
        <w:jc w:val="both"/>
        <w:rPr>
          <w:rFonts w:cs="Arial"/>
          <w:sz w:val="16"/>
          <w:szCs w:val="16"/>
        </w:rPr>
      </w:pPr>
    </w:p>
    <w:p w:rsidR="00880736" w:rsidRPr="0010506B" w:rsidRDefault="00880736" w:rsidP="00880736">
      <w:pPr>
        <w:jc w:val="both"/>
        <w:rPr>
          <w:rFonts w:cs="Arial"/>
          <w:szCs w:val="22"/>
        </w:rPr>
      </w:pPr>
      <w:r w:rsidRPr="0010506B">
        <w:rPr>
          <w:rFonts w:cs="Arial"/>
          <w:szCs w:val="22"/>
        </w:rPr>
        <w:t xml:space="preserve">Die bereitgestellten Produkt- und Kontenkataloge bitten wir in der Untergliederung </w:t>
      </w:r>
      <w:r w:rsidRPr="0010506B">
        <w:rPr>
          <w:rFonts w:cs="Arial"/>
          <w:b/>
          <w:szCs w:val="22"/>
        </w:rPr>
        <w:t>unbedingt</w:t>
      </w:r>
      <w:r w:rsidRPr="0010506B">
        <w:rPr>
          <w:rFonts w:cs="Arial"/>
          <w:szCs w:val="22"/>
        </w:rPr>
        <w:t xml:space="preserve"> einzuhalten, insbesondere die Trennung von Verwaltungs- und Leistungsprodukten im Sozialbereich (Produktgruppen 311</w:t>
      </w:r>
      <w:r>
        <w:rPr>
          <w:rFonts w:cs="Arial"/>
          <w:szCs w:val="22"/>
        </w:rPr>
        <w:t>,</w:t>
      </w:r>
      <w:r w:rsidRPr="0010506B">
        <w:rPr>
          <w:rFonts w:cs="Arial"/>
          <w:szCs w:val="22"/>
        </w:rPr>
        <w:t>312</w:t>
      </w:r>
      <w:r>
        <w:rPr>
          <w:rFonts w:cs="Arial"/>
          <w:szCs w:val="22"/>
        </w:rPr>
        <w:t xml:space="preserve"> und 314</w:t>
      </w:r>
      <w:r w:rsidRPr="0010506B">
        <w:rPr>
          <w:rFonts w:cs="Arial"/>
          <w:szCs w:val="22"/>
        </w:rPr>
        <w:t>). Eine andere Differenzierung - wie z. B.: 2- oder 5-stellige Produktnummern, 3- oder 6-stellige Konten wie in den Haushaltsplänen - darf bei den Auflistungen zur Jahresrechnungsstatistik nicht vorgenommen werden.</w:t>
      </w:r>
    </w:p>
    <w:p w:rsidR="00880736" w:rsidRPr="0010506B" w:rsidRDefault="00880736" w:rsidP="00880736">
      <w:pPr>
        <w:jc w:val="both"/>
        <w:rPr>
          <w:rFonts w:cs="Arial"/>
          <w:sz w:val="16"/>
          <w:szCs w:val="16"/>
        </w:rPr>
      </w:pPr>
    </w:p>
    <w:p w:rsidR="00880736" w:rsidRPr="0016465C" w:rsidRDefault="00880736" w:rsidP="00880736">
      <w:pPr>
        <w:jc w:val="both"/>
        <w:rPr>
          <w:rFonts w:cs="Arial"/>
          <w:b/>
          <w:szCs w:val="22"/>
        </w:rPr>
      </w:pPr>
      <w:r w:rsidRPr="0016465C">
        <w:rPr>
          <w:rFonts w:cs="Arial"/>
          <w:b/>
          <w:szCs w:val="22"/>
        </w:rPr>
        <w:t>Hinweise zu einzelnen Produkten und Konten</w:t>
      </w:r>
    </w:p>
    <w:p w:rsidR="00880736" w:rsidRPr="0016465C" w:rsidRDefault="00880736" w:rsidP="00880736">
      <w:pPr>
        <w:jc w:val="both"/>
        <w:rPr>
          <w:rFonts w:cs="Arial"/>
          <w:szCs w:val="22"/>
        </w:rPr>
      </w:pPr>
      <w:r w:rsidRPr="0016465C">
        <w:rPr>
          <w:rFonts w:cs="Arial"/>
          <w:szCs w:val="22"/>
        </w:rPr>
        <w:t>Bitte beachten Sie unbedingt im Folgenden unsere Hinweise zur Datenlieferung.</w:t>
      </w:r>
    </w:p>
    <w:p w:rsidR="00880736" w:rsidRPr="0016465C" w:rsidRDefault="00880736" w:rsidP="00880736">
      <w:pPr>
        <w:jc w:val="both"/>
        <w:rPr>
          <w:rFonts w:cs="Arial"/>
          <w:szCs w:val="22"/>
        </w:rPr>
      </w:pPr>
    </w:p>
    <w:p w:rsidR="00880736" w:rsidRPr="0016465C" w:rsidRDefault="00880736" w:rsidP="00880736">
      <w:pPr>
        <w:jc w:val="both"/>
        <w:rPr>
          <w:rFonts w:cs="Arial"/>
          <w:szCs w:val="22"/>
        </w:rPr>
      </w:pPr>
    </w:p>
    <w:p w:rsidR="00880736" w:rsidRPr="0016465C" w:rsidRDefault="00880736" w:rsidP="00880736">
      <w:pPr>
        <w:numPr>
          <w:ilvl w:val="0"/>
          <w:numId w:val="6"/>
        </w:numPr>
        <w:jc w:val="both"/>
        <w:rPr>
          <w:rFonts w:cs="Arial"/>
          <w:b/>
          <w:szCs w:val="22"/>
          <w:u w:val="single"/>
        </w:rPr>
      </w:pPr>
      <w:r w:rsidRPr="0016465C">
        <w:rPr>
          <w:rFonts w:cs="Arial"/>
          <w:b/>
          <w:szCs w:val="22"/>
          <w:u w:val="single"/>
        </w:rPr>
        <w:t>Neue Produktgruppe 314</w:t>
      </w:r>
    </w:p>
    <w:p w:rsidR="00880736" w:rsidRPr="0016465C" w:rsidRDefault="00880736" w:rsidP="00880736">
      <w:pPr>
        <w:ind w:left="720"/>
        <w:jc w:val="both"/>
        <w:rPr>
          <w:rFonts w:cs="Arial"/>
          <w:szCs w:val="22"/>
        </w:rPr>
      </w:pPr>
    </w:p>
    <w:p w:rsidR="00880736" w:rsidRPr="0016465C" w:rsidRDefault="00880736" w:rsidP="00880736">
      <w:pPr>
        <w:ind w:left="720"/>
        <w:jc w:val="both"/>
        <w:rPr>
          <w:rFonts w:cs="Arial"/>
          <w:szCs w:val="22"/>
        </w:rPr>
      </w:pPr>
      <w:r w:rsidRPr="0016465C">
        <w:rPr>
          <w:rFonts w:cs="Arial"/>
          <w:szCs w:val="22"/>
        </w:rPr>
        <w:t>Mit dem Rundschreiben Nr. 2/2019 vom 04.09.2019 wurde mitgeteilt, dass die Inklusionspauschale für behinderte Menschen ab 2020 in der neuen Produktgruppe 314 (empfohlenes Produkt 31486) zu buchen ist. Es ist das Konto 7339 “Sonstige soziale Leistungen“ zu verwenden.</w:t>
      </w:r>
    </w:p>
    <w:p w:rsidR="00880736" w:rsidRPr="0016465C" w:rsidRDefault="00880736" w:rsidP="00880736">
      <w:pPr>
        <w:ind w:left="720"/>
        <w:jc w:val="both"/>
        <w:rPr>
          <w:rFonts w:cs="Arial"/>
          <w:szCs w:val="22"/>
        </w:rPr>
      </w:pPr>
    </w:p>
    <w:p w:rsidR="00880736" w:rsidRPr="0016465C" w:rsidRDefault="00880736" w:rsidP="00880736">
      <w:pPr>
        <w:numPr>
          <w:ilvl w:val="0"/>
          <w:numId w:val="6"/>
        </w:numPr>
        <w:jc w:val="both"/>
        <w:rPr>
          <w:rFonts w:cs="Arial"/>
          <w:b/>
          <w:szCs w:val="22"/>
          <w:u w:val="single"/>
        </w:rPr>
      </w:pPr>
      <w:r w:rsidRPr="0016465C">
        <w:rPr>
          <w:rFonts w:cs="Arial"/>
          <w:b/>
          <w:szCs w:val="22"/>
          <w:u w:val="single"/>
        </w:rPr>
        <w:t>Neu - Aufteilung Produktgruppe 315</w:t>
      </w:r>
    </w:p>
    <w:p w:rsidR="00880736" w:rsidRPr="0016465C" w:rsidRDefault="00880736" w:rsidP="00880736">
      <w:pPr>
        <w:ind w:left="720"/>
        <w:jc w:val="both"/>
        <w:rPr>
          <w:rFonts w:cs="Arial"/>
          <w:b/>
          <w:szCs w:val="22"/>
          <w:u w:val="single"/>
        </w:rPr>
      </w:pPr>
    </w:p>
    <w:p w:rsidR="00880736" w:rsidRPr="0016465C" w:rsidRDefault="00880736" w:rsidP="00880736">
      <w:pPr>
        <w:ind w:left="720"/>
        <w:rPr>
          <w:rFonts w:cs="Arial"/>
          <w:szCs w:val="22"/>
        </w:rPr>
      </w:pPr>
      <w:r w:rsidRPr="0016465C">
        <w:rPr>
          <w:rFonts w:cs="Arial"/>
          <w:szCs w:val="22"/>
        </w:rPr>
        <w:t>Ab der Jahresrechnungsstatistik 2021 wurde das Produkt 315 (Soziale Einrichtungen) weiter unterteilt (s. Produktkatalog 2021). Auf die entsprechende Berücksichtigung in der Statistik ist zu achten.</w:t>
      </w:r>
    </w:p>
    <w:p w:rsidR="00880736" w:rsidRPr="0016465C" w:rsidRDefault="00880736" w:rsidP="00880736">
      <w:pPr>
        <w:ind w:left="720"/>
        <w:jc w:val="both"/>
        <w:rPr>
          <w:rFonts w:cs="Arial"/>
          <w:b/>
          <w:szCs w:val="22"/>
          <w:u w:val="single"/>
        </w:rPr>
      </w:pPr>
    </w:p>
    <w:p w:rsidR="00880736" w:rsidRPr="0016465C" w:rsidRDefault="00880736" w:rsidP="00880736">
      <w:pPr>
        <w:numPr>
          <w:ilvl w:val="0"/>
          <w:numId w:val="6"/>
        </w:numPr>
        <w:jc w:val="both"/>
        <w:rPr>
          <w:rFonts w:cs="Arial"/>
          <w:b/>
          <w:szCs w:val="22"/>
          <w:u w:val="single"/>
        </w:rPr>
      </w:pPr>
      <w:r w:rsidRPr="0016465C">
        <w:rPr>
          <w:rFonts w:cs="Arial"/>
          <w:b/>
          <w:szCs w:val="22"/>
          <w:u w:val="single"/>
        </w:rPr>
        <w:t>Korrekte Veranschlagung in den Produktgruppen 361 und 365</w:t>
      </w:r>
    </w:p>
    <w:p w:rsidR="00880736" w:rsidRPr="0016465C" w:rsidRDefault="00880736" w:rsidP="00880736">
      <w:pPr>
        <w:ind w:left="360"/>
        <w:jc w:val="both"/>
        <w:rPr>
          <w:rFonts w:cs="Arial"/>
          <w:b/>
          <w:szCs w:val="22"/>
          <w:u w:val="single"/>
        </w:rPr>
      </w:pPr>
    </w:p>
    <w:p w:rsidR="00880736" w:rsidRPr="0000768F" w:rsidRDefault="00880736" w:rsidP="00880736">
      <w:pPr>
        <w:numPr>
          <w:ilvl w:val="0"/>
          <w:numId w:val="5"/>
        </w:numPr>
        <w:jc w:val="both"/>
        <w:rPr>
          <w:rFonts w:cs="Arial"/>
          <w:b/>
          <w:szCs w:val="22"/>
          <w:u w:val="single"/>
        </w:rPr>
      </w:pPr>
      <w:r w:rsidRPr="0016465C">
        <w:rPr>
          <w:rFonts w:cs="Arial"/>
          <w:szCs w:val="22"/>
        </w:rPr>
        <w:t xml:space="preserve">Immer noch werden Einnahmen und Ausgaben für Einrichtungen der Kinder- und Jugendhilfe – insbesondere für Tageseinrichtungen für Kinder – fälschlicherweise in der Produktgruppe 361 nachgewiesen. Hier sind jedoch nur Ein- und Ausgaben zur individuellen </w:t>
      </w:r>
      <w:r w:rsidRPr="0016465C">
        <w:rPr>
          <w:rFonts w:cs="Arial"/>
          <w:szCs w:val="22"/>
          <w:u w:val="single"/>
        </w:rPr>
        <w:t>Förderung</w:t>
      </w:r>
      <w:r w:rsidRPr="0016465C">
        <w:rPr>
          <w:rFonts w:cs="Arial"/>
          <w:szCs w:val="22"/>
        </w:rPr>
        <w:t xml:space="preserve"> einzelner </w:t>
      </w:r>
      <w:r w:rsidRPr="0016465C">
        <w:rPr>
          <w:rFonts w:cs="Arial"/>
          <w:szCs w:val="22"/>
          <w:u w:val="single"/>
        </w:rPr>
        <w:t>Kinder</w:t>
      </w:r>
      <w:r w:rsidRPr="0016465C">
        <w:rPr>
          <w:rFonts w:cs="Arial"/>
          <w:szCs w:val="22"/>
        </w:rPr>
        <w:t xml:space="preserve"> zu buchen. Ein- und</w:t>
      </w:r>
      <w:r w:rsidRPr="0016465C">
        <w:rPr>
          <w:rFonts w:cs="Arial"/>
          <w:b/>
          <w:szCs w:val="22"/>
        </w:rPr>
        <w:t xml:space="preserve"> </w:t>
      </w:r>
      <w:r w:rsidRPr="0016465C">
        <w:rPr>
          <w:rFonts w:cs="Arial"/>
          <w:szCs w:val="22"/>
        </w:rPr>
        <w:t xml:space="preserve">Auszahlungen in Zusammenhang mit der </w:t>
      </w:r>
      <w:r w:rsidRPr="0016465C">
        <w:rPr>
          <w:rFonts w:cs="Arial"/>
          <w:szCs w:val="22"/>
          <w:u w:val="single"/>
        </w:rPr>
        <w:t>Förderung</w:t>
      </w:r>
      <w:r w:rsidRPr="0016465C">
        <w:rPr>
          <w:rFonts w:cs="Arial"/>
          <w:szCs w:val="22"/>
        </w:rPr>
        <w:t xml:space="preserve"> von </w:t>
      </w:r>
      <w:r w:rsidRPr="0016465C">
        <w:rPr>
          <w:rFonts w:cs="Arial"/>
          <w:szCs w:val="22"/>
          <w:u w:val="single"/>
        </w:rPr>
        <w:t>Tageseinrichtungen</w:t>
      </w:r>
      <w:r w:rsidRPr="0016465C">
        <w:rPr>
          <w:rFonts w:cs="Arial"/>
          <w:szCs w:val="22"/>
        </w:rPr>
        <w:t xml:space="preserve"> sind hingegen in der Produktgruppe 365 auszuweisen.</w:t>
      </w:r>
    </w:p>
    <w:p w:rsidR="00880736" w:rsidRDefault="00880736" w:rsidP="00880736">
      <w:pPr>
        <w:jc w:val="both"/>
        <w:rPr>
          <w:rFonts w:cs="Arial"/>
          <w:b/>
          <w:szCs w:val="22"/>
          <w:u w:val="single"/>
        </w:rPr>
      </w:pPr>
    </w:p>
    <w:p w:rsidR="00880736" w:rsidRPr="0016465C" w:rsidRDefault="00880736" w:rsidP="00880736">
      <w:pPr>
        <w:jc w:val="both"/>
        <w:rPr>
          <w:rFonts w:cs="Arial"/>
          <w:b/>
          <w:szCs w:val="22"/>
          <w:u w:val="single"/>
        </w:rPr>
      </w:pPr>
    </w:p>
    <w:p w:rsidR="00880736" w:rsidRPr="0016465C" w:rsidRDefault="00880736" w:rsidP="00880736">
      <w:pPr>
        <w:ind w:left="1069"/>
        <w:jc w:val="both"/>
        <w:rPr>
          <w:rFonts w:cs="Arial"/>
          <w:b/>
          <w:szCs w:val="22"/>
          <w:u w:val="single"/>
        </w:rPr>
      </w:pPr>
    </w:p>
    <w:p w:rsidR="00880736" w:rsidRPr="0016465C" w:rsidRDefault="00880736" w:rsidP="00880736">
      <w:pPr>
        <w:numPr>
          <w:ilvl w:val="0"/>
          <w:numId w:val="5"/>
        </w:numPr>
        <w:ind w:left="720"/>
        <w:jc w:val="both"/>
        <w:rPr>
          <w:rFonts w:cs="Arial"/>
          <w:b/>
          <w:szCs w:val="22"/>
          <w:u w:val="single"/>
        </w:rPr>
      </w:pPr>
      <w:r w:rsidRPr="0016465C">
        <w:rPr>
          <w:rFonts w:cs="Arial"/>
          <w:szCs w:val="22"/>
        </w:rPr>
        <w:lastRenderedPageBreak/>
        <w:t xml:space="preserve">Übernimmt der Jugendhilfeträger die Elternbeiträge für den Besuch der Kinder in einer Kindertagesstätte, stellen diese Ausgaben individuelle Leistungen der Jugendhilfe dar und sind bei Konto 7332 zu buchen. Die Einnahme bei der kommunalen Kindertagesstätte ist dort bei Konto 6321 (Gebühren aufgrund einer Satzung) bzw. 6461 (privatrechtliche Leistungsentgelte) zu buchen. </w:t>
      </w:r>
    </w:p>
    <w:p w:rsidR="00880736" w:rsidRPr="0016465C" w:rsidRDefault="00880736" w:rsidP="00880736">
      <w:pPr>
        <w:jc w:val="both"/>
        <w:rPr>
          <w:rFonts w:cs="Arial"/>
          <w:b/>
          <w:szCs w:val="22"/>
          <w:u w:val="single"/>
        </w:rPr>
      </w:pPr>
    </w:p>
    <w:p w:rsidR="00880736" w:rsidRPr="0016465C" w:rsidRDefault="00880736" w:rsidP="00880736">
      <w:pPr>
        <w:ind w:left="720"/>
        <w:jc w:val="both"/>
        <w:rPr>
          <w:rFonts w:cs="Arial"/>
          <w:szCs w:val="22"/>
        </w:rPr>
      </w:pPr>
    </w:p>
    <w:p w:rsidR="00880736" w:rsidRPr="0016465C" w:rsidRDefault="00880736" w:rsidP="00880736">
      <w:pPr>
        <w:numPr>
          <w:ilvl w:val="0"/>
          <w:numId w:val="6"/>
        </w:numPr>
        <w:jc w:val="both"/>
        <w:rPr>
          <w:rFonts w:cs="Arial"/>
          <w:b/>
          <w:szCs w:val="22"/>
          <w:u w:val="single"/>
        </w:rPr>
      </w:pPr>
      <w:r w:rsidRPr="0016465C">
        <w:rPr>
          <w:rFonts w:cs="Arial"/>
          <w:b/>
          <w:szCs w:val="22"/>
          <w:u w:val="single"/>
        </w:rPr>
        <w:t>Mittel nach § 14 j NFAG, Kinderbonus 2022</w:t>
      </w:r>
    </w:p>
    <w:p w:rsidR="00880736" w:rsidRPr="0016465C" w:rsidRDefault="00880736" w:rsidP="00880736">
      <w:pPr>
        <w:ind w:left="720"/>
        <w:jc w:val="both"/>
        <w:rPr>
          <w:rFonts w:cs="Arial"/>
          <w:b/>
          <w:szCs w:val="22"/>
          <w:u w:val="single"/>
        </w:rPr>
      </w:pPr>
    </w:p>
    <w:p w:rsidR="00880736" w:rsidRPr="0016465C" w:rsidRDefault="00880736" w:rsidP="00880736">
      <w:pPr>
        <w:ind w:left="720"/>
        <w:jc w:val="both"/>
        <w:rPr>
          <w:rFonts w:cs="Arial"/>
          <w:szCs w:val="22"/>
        </w:rPr>
      </w:pPr>
      <w:r w:rsidRPr="0016465C">
        <w:rPr>
          <w:rFonts w:cs="Arial"/>
          <w:szCs w:val="22"/>
        </w:rPr>
        <w:t>Mit dem am 23. September 2022 verabschiedeten Gesetz zur Änderung des Niedersächsischen Gesetzes über den Finanzausgleich erhalten kreisfreie Städte, kreisangehörige Gemeinden und gemeindefreie Bezirke im Dezember 2022 eine Ausgleichsleistung vom Land für Steuerausfälle aus dem Einkommensteueraufkommen aufgrund der Kindergeld-Sonderzahlung 2022 („Kinderbonus 2022“).</w:t>
      </w:r>
    </w:p>
    <w:p w:rsidR="00880736" w:rsidRPr="0016465C" w:rsidRDefault="00880736" w:rsidP="00880736">
      <w:pPr>
        <w:ind w:left="720"/>
        <w:jc w:val="both"/>
        <w:rPr>
          <w:rFonts w:cs="Arial"/>
          <w:szCs w:val="22"/>
        </w:rPr>
      </w:pPr>
      <w:r w:rsidRPr="0016465C">
        <w:rPr>
          <w:rFonts w:cs="Arial"/>
          <w:szCs w:val="22"/>
        </w:rPr>
        <w:t>Zu buchen ist der Ausgleichsbetrag von den Kommunen bei:</w:t>
      </w:r>
    </w:p>
    <w:p w:rsidR="00880736" w:rsidRPr="0016465C" w:rsidRDefault="00880736" w:rsidP="00880736">
      <w:pPr>
        <w:ind w:left="720"/>
        <w:jc w:val="both"/>
        <w:rPr>
          <w:rFonts w:cs="Arial"/>
          <w:szCs w:val="22"/>
        </w:rPr>
      </w:pPr>
    </w:p>
    <w:p w:rsidR="00880736" w:rsidRPr="0016465C" w:rsidRDefault="00880736" w:rsidP="00880736">
      <w:pPr>
        <w:ind w:left="720"/>
        <w:jc w:val="both"/>
        <w:rPr>
          <w:rFonts w:cs="Arial"/>
          <w:szCs w:val="22"/>
        </w:rPr>
      </w:pPr>
      <w:r w:rsidRPr="0016465C">
        <w:rPr>
          <w:rFonts w:cs="Arial"/>
          <w:szCs w:val="22"/>
        </w:rPr>
        <w:t xml:space="preserve">Produktgruppe 611 „Steuern, allgemeine Zuweisungen, allgemeine </w:t>
      </w:r>
      <w:r w:rsidR="00540D64">
        <w:rPr>
          <w:rFonts w:cs="Arial"/>
          <w:szCs w:val="22"/>
        </w:rPr>
        <w:t>Umlagen</w:t>
      </w:r>
      <w:r w:rsidRPr="0016465C">
        <w:rPr>
          <w:rFonts w:cs="Arial"/>
          <w:szCs w:val="22"/>
        </w:rPr>
        <w:t>“</w:t>
      </w:r>
    </w:p>
    <w:p w:rsidR="00880736" w:rsidRPr="0016465C" w:rsidRDefault="00880736" w:rsidP="00880736">
      <w:pPr>
        <w:ind w:left="720"/>
        <w:jc w:val="both"/>
        <w:rPr>
          <w:rFonts w:cs="Arial"/>
          <w:szCs w:val="22"/>
        </w:rPr>
      </w:pPr>
      <w:r w:rsidRPr="0016465C">
        <w:rPr>
          <w:rFonts w:cs="Arial"/>
          <w:szCs w:val="22"/>
        </w:rPr>
        <w:t>Konto 3131 bzw. 6131 „Sonstige allgemeine Zuweisungen vom Land“.</w:t>
      </w:r>
    </w:p>
    <w:p w:rsidR="00880736" w:rsidRPr="0016465C" w:rsidRDefault="00880736" w:rsidP="00880736">
      <w:pPr>
        <w:jc w:val="both"/>
        <w:rPr>
          <w:rFonts w:cs="Arial"/>
          <w:b/>
          <w:szCs w:val="22"/>
          <w:u w:val="single"/>
        </w:rPr>
      </w:pPr>
    </w:p>
    <w:p w:rsidR="00880736" w:rsidRPr="0016465C" w:rsidRDefault="00880736" w:rsidP="00880736">
      <w:pPr>
        <w:numPr>
          <w:ilvl w:val="0"/>
          <w:numId w:val="6"/>
        </w:numPr>
        <w:jc w:val="both"/>
        <w:rPr>
          <w:rFonts w:cs="Arial"/>
          <w:b/>
          <w:szCs w:val="22"/>
          <w:u w:val="single"/>
        </w:rPr>
      </w:pPr>
      <w:r w:rsidRPr="0016465C">
        <w:rPr>
          <w:rFonts w:cs="Arial"/>
          <w:b/>
          <w:szCs w:val="22"/>
          <w:u w:val="single"/>
        </w:rPr>
        <w:t>Wohngeld</w:t>
      </w:r>
    </w:p>
    <w:p w:rsidR="00880736" w:rsidRPr="0016465C" w:rsidRDefault="00880736" w:rsidP="00880736">
      <w:pPr>
        <w:ind w:left="720"/>
        <w:jc w:val="both"/>
        <w:rPr>
          <w:rFonts w:cs="Arial"/>
          <w:b/>
          <w:szCs w:val="22"/>
        </w:rPr>
      </w:pPr>
    </w:p>
    <w:p w:rsidR="00880736" w:rsidRPr="0016465C" w:rsidRDefault="00880736" w:rsidP="00880736">
      <w:pPr>
        <w:ind w:left="720"/>
        <w:jc w:val="both"/>
        <w:rPr>
          <w:rFonts w:cs="Arial"/>
          <w:szCs w:val="22"/>
        </w:rPr>
      </w:pPr>
      <w:r w:rsidRPr="0016465C">
        <w:rPr>
          <w:rFonts w:cs="Arial"/>
          <w:szCs w:val="22"/>
        </w:rPr>
        <w:t xml:space="preserve">Ab der Jahresrechnungsstatistik 2019 wird die Produktgruppe 346 „Wohngeld“ nicht mehr erhoben. Da es sich bei den Ein- und Auszahlungen unterhalb dieser Produktgruppe um bewirtschaftete Fremdmittel handelt, die von den Kommunen </w:t>
      </w:r>
      <w:r w:rsidRPr="0016465C">
        <w:rPr>
          <w:rFonts w:cs="Arial"/>
          <w:szCs w:val="22"/>
          <w:u w:val="single"/>
        </w:rPr>
        <w:t>haushaltsunwirksam</w:t>
      </w:r>
      <w:r w:rsidRPr="0016465C">
        <w:rPr>
          <w:rFonts w:cs="Arial"/>
          <w:szCs w:val="22"/>
        </w:rPr>
        <w:t xml:space="preserve"> gebucht werden, hat das Statistische Bundesamt die Datenanforderung zu dieser Produktgruppe eingestellt. Die in Zusammenhang mit der Bearbeitung von Anträgen entstandenen Verwaltungs- und Personalkosten sowie die hierfür erhaltenen Erstattungen sind bei Produkt 3119 „Verwaltung der Sozialhilfe“ zu buchen. </w:t>
      </w:r>
    </w:p>
    <w:p w:rsidR="00880736" w:rsidRPr="0016465C" w:rsidRDefault="00880736" w:rsidP="00880736">
      <w:pPr>
        <w:ind w:left="720"/>
        <w:jc w:val="both"/>
        <w:rPr>
          <w:rFonts w:cs="Arial"/>
          <w:szCs w:val="22"/>
        </w:rPr>
      </w:pPr>
    </w:p>
    <w:p w:rsidR="00880736" w:rsidRPr="0016465C" w:rsidRDefault="00880736" w:rsidP="00880736">
      <w:pPr>
        <w:numPr>
          <w:ilvl w:val="0"/>
          <w:numId w:val="6"/>
        </w:numPr>
        <w:jc w:val="both"/>
        <w:rPr>
          <w:rFonts w:cs="Arial"/>
          <w:b/>
          <w:szCs w:val="22"/>
          <w:u w:val="single"/>
        </w:rPr>
      </w:pPr>
      <w:r w:rsidRPr="0016465C">
        <w:rPr>
          <w:rFonts w:cs="Arial"/>
          <w:b/>
          <w:szCs w:val="22"/>
          <w:u w:val="single"/>
        </w:rPr>
        <w:t xml:space="preserve">Ergebniskonten </w:t>
      </w:r>
    </w:p>
    <w:p w:rsidR="00880736" w:rsidRPr="0016465C" w:rsidRDefault="00880736" w:rsidP="00880736">
      <w:pPr>
        <w:ind w:left="720"/>
        <w:jc w:val="both"/>
        <w:rPr>
          <w:rFonts w:cs="Arial"/>
          <w:b/>
          <w:szCs w:val="22"/>
          <w:u w:val="single"/>
        </w:rPr>
      </w:pPr>
    </w:p>
    <w:p w:rsidR="00880736" w:rsidRPr="0016465C" w:rsidRDefault="00880736" w:rsidP="00880736">
      <w:pPr>
        <w:ind w:left="720"/>
        <w:jc w:val="both"/>
        <w:rPr>
          <w:rFonts w:cs="Arial"/>
          <w:szCs w:val="22"/>
        </w:rPr>
      </w:pPr>
      <w:r w:rsidRPr="0016465C">
        <w:rPr>
          <w:rFonts w:cs="Arial"/>
          <w:szCs w:val="22"/>
        </w:rPr>
        <w:t>Die Konten 3811, 4711, 4721, 4811 aus der Ergebnisrechnung werden ab dem Rechnungsjahr 2018 nicht mehr für die Statistik benötigt und brauchen nicht mehr geliefert werden</w:t>
      </w:r>
      <w:r w:rsidR="00374B77">
        <w:rPr>
          <w:rFonts w:cs="Arial"/>
          <w:szCs w:val="22"/>
        </w:rPr>
        <w:t>.</w:t>
      </w:r>
    </w:p>
    <w:p w:rsidR="00880736" w:rsidRPr="0016465C" w:rsidRDefault="00880736" w:rsidP="00880736">
      <w:pPr>
        <w:ind w:left="720"/>
        <w:jc w:val="both"/>
        <w:rPr>
          <w:rFonts w:cs="Arial"/>
          <w:szCs w:val="22"/>
        </w:rPr>
      </w:pPr>
    </w:p>
    <w:p w:rsidR="00880736" w:rsidRPr="0016465C" w:rsidRDefault="00880736" w:rsidP="00880736">
      <w:pPr>
        <w:numPr>
          <w:ilvl w:val="0"/>
          <w:numId w:val="6"/>
        </w:numPr>
        <w:jc w:val="both"/>
        <w:rPr>
          <w:rFonts w:cs="Arial"/>
          <w:b/>
          <w:szCs w:val="22"/>
          <w:u w:val="single"/>
        </w:rPr>
      </w:pPr>
      <w:r w:rsidRPr="0016465C">
        <w:rPr>
          <w:rFonts w:cs="Arial"/>
          <w:b/>
          <w:szCs w:val="22"/>
          <w:u w:val="single"/>
        </w:rPr>
        <w:t>Dezentrale Buchung</w:t>
      </w:r>
    </w:p>
    <w:p w:rsidR="00880736" w:rsidRPr="0016465C" w:rsidRDefault="00880736" w:rsidP="00880736">
      <w:pPr>
        <w:ind w:left="720"/>
        <w:jc w:val="both"/>
        <w:rPr>
          <w:rFonts w:cs="Arial"/>
          <w:szCs w:val="22"/>
        </w:rPr>
      </w:pPr>
    </w:p>
    <w:p w:rsidR="00880736" w:rsidRPr="0016465C" w:rsidRDefault="00880736" w:rsidP="00880736">
      <w:pPr>
        <w:ind w:left="720"/>
        <w:jc w:val="both"/>
        <w:rPr>
          <w:rFonts w:cs="Arial"/>
          <w:szCs w:val="22"/>
        </w:rPr>
      </w:pPr>
      <w:r w:rsidRPr="0016465C">
        <w:rPr>
          <w:rFonts w:cs="Arial"/>
          <w:szCs w:val="22"/>
        </w:rPr>
        <w:t>Die zentrale Ausweisung von Auszahlungen für Grundstücks- und Gebäudemanagement, Investitionen/Baumaßnahmen sowie Personal- und Sachauszahlungen ist nicht (auch nicht in Produktgruppe 111) zulässig. Eine Aufteilung auf die jeweiligen Produktgruppen ist zwingend erforderlich (siehe Punkt a) der Hinweise zur Zuordnung in der Doppik im Rundschreiben Nr. 1/2019).</w:t>
      </w:r>
    </w:p>
    <w:p w:rsidR="00880736" w:rsidRPr="0016465C" w:rsidRDefault="00880736" w:rsidP="00880736">
      <w:pPr>
        <w:ind w:left="720"/>
        <w:jc w:val="both"/>
        <w:rPr>
          <w:rFonts w:cs="Arial"/>
          <w:szCs w:val="22"/>
        </w:rPr>
      </w:pPr>
    </w:p>
    <w:p w:rsidR="00880736" w:rsidRPr="0016465C" w:rsidRDefault="00880736" w:rsidP="00880736">
      <w:pPr>
        <w:numPr>
          <w:ilvl w:val="0"/>
          <w:numId w:val="6"/>
        </w:numPr>
        <w:jc w:val="both"/>
        <w:rPr>
          <w:rFonts w:cs="Arial"/>
          <w:b/>
          <w:szCs w:val="22"/>
          <w:u w:val="single"/>
        </w:rPr>
      </w:pPr>
      <w:r w:rsidRPr="0016465C">
        <w:rPr>
          <w:rFonts w:cs="Arial"/>
          <w:b/>
          <w:szCs w:val="22"/>
          <w:u w:val="single"/>
        </w:rPr>
        <w:t>Versorgungs- und Beihilfeaufwendungen</w:t>
      </w:r>
    </w:p>
    <w:p w:rsidR="00880736" w:rsidRPr="0016465C" w:rsidRDefault="00880736" w:rsidP="00880736">
      <w:pPr>
        <w:ind w:left="720"/>
        <w:jc w:val="both"/>
        <w:rPr>
          <w:rFonts w:cs="Arial"/>
          <w:szCs w:val="22"/>
        </w:rPr>
      </w:pPr>
    </w:p>
    <w:p w:rsidR="00880736" w:rsidRDefault="00880736" w:rsidP="00880736">
      <w:pPr>
        <w:ind w:left="709"/>
        <w:jc w:val="both"/>
        <w:rPr>
          <w:rFonts w:cs="Arial"/>
          <w:szCs w:val="22"/>
        </w:rPr>
      </w:pPr>
      <w:r w:rsidRPr="0016465C">
        <w:rPr>
          <w:rFonts w:cs="Arial"/>
          <w:szCs w:val="22"/>
        </w:rPr>
        <w:t xml:space="preserve">Die Versorgungs- und Beihilfeauszahlungen (Konten 7021, 7041) sind im Verhältnis der veranschlagten Personalauszahlungen auf die jeweiligen Aufgabenbereiche aufzuteilen (§ 15 (2) </w:t>
      </w:r>
      <w:proofErr w:type="spellStart"/>
      <w:r w:rsidRPr="0016465C">
        <w:rPr>
          <w:rFonts w:cs="Arial"/>
          <w:szCs w:val="22"/>
        </w:rPr>
        <w:t>KomHKVO</w:t>
      </w:r>
      <w:proofErr w:type="spellEnd"/>
      <w:r w:rsidRPr="0016465C">
        <w:rPr>
          <w:rFonts w:cs="Arial"/>
          <w:szCs w:val="22"/>
        </w:rPr>
        <w:t>.</w:t>
      </w:r>
    </w:p>
    <w:p w:rsidR="00880736" w:rsidRDefault="00880736" w:rsidP="00880736">
      <w:pPr>
        <w:ind w:left="709"/>
        <w:jc w:val="both"/>
        <w:rPr>
          <w:rFonts w:cs="Arial"/>
          <w:b/>
          <w:szCs w:val="22"/>
          <w:u w:val="single"/>
        </w:rPr>
      </w:pPr>
    </w:p>
    <w:p w:rsidR="00880736" w:rsidRDefault="00880736" w:rsidP="00880736">
      <w:pPr>
        <w:ind w:left="709"/>
        <w:jc w:val="both"/>
        <w:rPr>
          <w:rFonts w:cs="Arial"/>
          <w:b/>
          <w:szCs w:val="22"/>
          <w:u w:val="single"/>
        </w:rPr>
      </w:pPr>
    </w:p>
    <w:p w:rsidR="00880736" w:rsidRDefault="00880736" w:rsidP="00880736">
      <w:pPr>
        <w:ind w:left="709"/>
        <w:jc w:val="both"/>
        <w:rPr>
          <w:rFonts w:cs="Arial"/>
          <w:b/>
          <w:szCs w:val="22"/>
          <w:u w:val="single"/>
        </w:rPr>
      </w:pPr>
    </w:p>
    <w:p w:rsidR="00880736" w:rsidRPr="0016465C" w:rsidRDefault="00880736" w:rsidP="00880736">
      <w:pPr>
        <w:ind w:left="709"/>
        <w:jc w:val="both"/>
        <w:rPr>
          <w:rFonts w:cs="Arial"/>
          <w:b/>
          <w:szCs w:val="22"/>
          <w:u w:val="single"/>
        </w:rPr>
      </w:pPr>
    </w:p>
    <w:p w:rsidR="00880736" w:rsidRPr="0016465C" w:rsidRDefault="00880736" w:rsidP="00880736">
      <w:pPr>
        <w:ind w:left="1069"/>
        <w:jc w:val="both"/>
        <w:rPr>
          <w:rFonts w:cs="Arial"/>
          <w:szCs w:val="22"/>
        </w:rPr>
      </w:pPr>
    </w:p>
    <w:p w:rsidR="00880736" w:rsidRPr="0016465C" w:rsidRDefault="00880736" w:rsidP="00880736">
      <w:pPr>
        <w:numPr>
          <w:ilvl w:val="0"/>
          <w:numId w:val="6"/>
        </w:numPr>
        <w:jc w:val="both"/>
        <w:rPr>
          <w:rFonts w:cs="Arial"/>
          <w:b/>
          <w:szCs w:val="22"/>
          <w:u w:val="single"/>
        </w:rPr>
      </w:pPr>
      <w:r w:rsidRPr="0016465C">
        <w:rPr>
          <w:rFonts w:cs="Arial"/>
          <w:b/>
          <w:szCs w:val="22"/>
          <w:u w:val="single"/>
        </w:rPr>
        <w:lastRenderedPageBreak/>
        <w:t>Gewährung und Rückflüsse von Ausleihungen (Kontengruppen 688 und 788)</w:t>
      </w:r>
    </w:p>
    <w:p w:rsidR="00880736" w:rsidRPr="0016465C" w:rsidRDefault="00880736" w:rsidP="00880736">
      <w:pPr>
        <w:ind w:left="720"/>
        <w:jc w:val="both"/>
        <w:rPr>
          <w:rFonts w:cs="Arial"/>
          <w:szCs w:val="22"/>
        </w:rPr>
      </w:pPr>
    </w:p>
    <w:p w:rsidR="00880736" w:rsidRPr="0016465C" w:rsidRDefault="00880736" w:rsidP="00880736">
      <w:pPr>
        <w:ind w:left="720"/>
        <w:jc w:val="both"/>
        <w:rPr>
          <w:rFonts w:cs="Arial"/>
          <w:szCs w:val="22"/>
        </w:rPr>
      </w:pPr>
      <w:r w:rsidRPr="0016465C">
        <w:rPr>
          <w:rFonts w:cs="Arial"/>
          <w:szCs w:val="22"/>
        </w:rPr>
        <w:t>Da Ausleihungen dem entsprechenden Zweck zuzuordnen sind, ist sowohl die Gewährung als auch der Rückfluss einer solchen Ausleihung im entsprechenden Produkt zu buchen und nicht zentral in der allgemeinen Finanzwirtschaft (Produktgruppe 612).</w:t>
      </w:r>
    </w:p>
    <w:p w:rsidR="00880736" w:rsidRPr="0016465C" w:rsidRDefault="00880736" w:rsidP="00880736">
      <w:pPr>
        <w:jc w:val="both"/>
        <w:rPr>
          <w:rFonts w:cs="Arial"/>
          <w:szCs w:val="22"/>
        </w:rPr>
      </w:pPr>
    </w:p>
    <w:p w:rsidR="00880736" w:rsidRPr="0016465C" w:rsidRDefault="00880736" w:rsidP="00880736">
      <w:pPr>
        <w:numPr>
          <w:ilvl w:val="0"/>
          <w:numId w:val="6"/>
        </w:numPr>
        <w:jc w:val="both"/>
        <w:rPr>
          <w:rFonts w:cs="Arial"/>
          <w:b/>
          <w:szCs w:val="22"/>
          <w:u w:val="single"/>
        </w:rPr>
      </w:pPr>
      <w:r w:rsidRPr="0016465C">
        <w:rPr>
          <w:rFonts w:cs="Arial"/>
          <w:b/>
          <w:szCs w:val="22"/>
          <w:u w:val="single"/>
        </w:rPr>
        <w:t>Buchung auf sogenannten „Sammelkonten“</w:t>
      </w:r>
    </w:p>
    <w:p w:rsidR="00880736" w:rsidRPr="0016465C" w:rsidRDefault="00880736" w:rsidP="00880736">
      <w:pPr>
        <w:ind w:left="720"/>
        <w:jc w:val="both"/>
        <w:rPr>
          <w:rFonts w:cs="Arial"/>
          <w:szCs w:val="22"/>
        </w:rPr>
      </w:pPr>
    </w:p>
    <w:p w:rsidR="00880736" w:rsidRPr="0016465C" w:rsidRDefault="00880736" w:rsidP="00880736">
      <w:pPr>
        <w:ind w:left="720"/>
        <w:jc w:val="both"/>
        <w:rPr>
          <w:rFonts w:cs="Arial"/>
          <w:szCs w:val="22"/>
        </w:rPr>
      </w:pPr>
      <w:r w:rsidRPr="0016465C">
        <w:rPr>
          <w:rFonts w:cs="Arial"/>
          <w:szCs w:val="22"/>
        </w:rPr>
        <w:t>Folgende Konten sind betroffen:</w:t>
      </w:r>
    </w:p>
    <w:p w:rsidR="00880736" w:rsidRPr="0016465C" w:rsidRDefault="00880736" w:rsidP="00880736">
      <w:pPr>
        <w:ind w:left="720"/>
        <w:jc w:val="both"/>
        <w:rPr>
          <w:rFonts w:cs="Arial"/>
          <w:szCs w:val="22"/>
        </w:rPr>
      </w:pPr>
    </w:p>
    <w:p w:rsidR="00880736" w:rsidRPr="0016465C" w:rsidRDefault="00880736" w:rsidP="00880736">
      <w:pPr>
        <w:ind w:left="720"/>
        <w:jc w:val="both"/>
        <w:rPr>
          <w:rFonts w:cs="Arial"/>
          <w:szCs w:val="22"/>
        </w:rPr>
      </w:pPr>
      <w:r w:rsidRPr="0016465C">
        <w:rPr>
          <w:rFonts w:cs="Arial"/>
          <w:szCs w:val="22"/>
        </w:rPr>
        <w:t>6291 sonstige Transfereinzahlungen</w:t>
      </w:r>
    </w:p>
    <w:p w:rsidR="00880736" w:rsidRPr="0016465C" w:rsidRDefault="00880736" w:rsidP="00880736">
      <w:pPr>
        <w:ind w:left="720"/>
        <w:jc w:val="both"/>
        <w:rPr>
          <w:rFonts w:cs="Arial"/>
          <w:szCs w:val="22"/>
        </w:rPr>
      </w:pPr>
      <w:r w:rsidRPr="0016465C">
        <w:rPr>
          <w:rFonts w:cs="Arial"/>
          <w:szCs w:val="22"/>
        </w:rPr>
        <w:t xml:space="preserve">6591 andere sonstige Einzahlungen </w:t>
      </w:r>
      <w:proofErr w:type="gramStart"/>
      <w:r w:rsidRPr="0016465C">
        <w:rPr>
          <w:rFonts w:cs="Arial"/>
          <w:szCs w:val="22"/>
        </w:rPr>
        <w:t>aus laufender</w:t>
      </w:r>
      <w:proofErr w:type="gramEnd"/>
      <w:r w:rsidRPr="0016465C">
        <w:rPr>
          <w:rFonts w:cs="Arial"/>
          <w:szCs w:val="22"/>
        </w:rPr>
        <w:t xml:space="preserve"> Verwaltungstätigkeit</w:t>
      </w:r>
    </w:p>
    <w:p w:rsidR="00880736" w:rsidRPr="0016465C" w:rsidRDefault="00880736" w:rsidP="00880736">
      <w:pPr>
        <w:ind w:left="720"/>
        <w:jc w:val="both"/>
        <w:rPr>
          <w:rFonts w:cs="Arial"/>
          <w:szCs w:val="22"/>
        </w:rPr>
      </w:pPr>
      <w:r w:rsidRPr="0016465C">
        <w:rPr>
          <w:rFonts w:cs="Arial"/>
          <w:szCs w:val="22"/>
        </w:rPr>
        <w:t>6699 weitere sonstige Finanzeinzahlungen</w:t>
      </w:r>
    </w:p>
    <w:p w:rsidR="00880736" w:rsidRPr="0016465C" w:rsidRDefault="00880736" w:rsidP="00880736">
      <w:pPr>
        <w:ind w:left="720"/>
        <w:jc w:val="both"/>
        <w:rPr>
          <w:rFonts w:cs="Arial"/>
          <w:szCs w:val="22"/>
        </w:rPr>
      </w:pPr>
      <w:r w:rsidRPr="0016465C">
        <w:rPr>
          <w:rFonts w:cs="Arial"/>
          <w:szCs w:val="22"/>
        </w:rPr>
        <w:t>7391 sonstige Transferauszahlungen</w:t>
      </w:r>
    </w:p>
    <w:p w:rsidR="00880736" w:rsidRPr="0016465C" w:rsidRDefault="00880736" w:rsidP="00880736">
      <w:pPr>
        <w:ind w:left="720"/>
        <w:jc w:val="both"/>
        <w:rPr>
          <w:rFonts w:cs="Arial"/>
          <w:szCs w:val="22"/>
        </w:rPr>
      </w:pPr>
      <w:r w:rsidRPr="0016465C">
        <w:rPr>
          <w:rFonts w:cs="Arial"/>
          <w:szCs w:val="22"/>
        </w:rPr>
        <w:t xml:space="preserve">7491 weitere sonstige Auszahlungen </w:t>
      </w:r>
      <w:proofErr w:type="gramStart"/>
      <w:r w:rsidRPr="0016465C">
        <w:rPr>
          <w:rFonts w:cs="Arial"/>
          <w:szCs w:val="22"/>
        </w:rPr>
        <w:t>aus laufender</w:t>
      </w:r>
      <w:proofErr w:type="gramEnd"/>
      <w:r w:rsidRPr="0016465C">
        <w:rPr>
          <w:rFonts w:cs="Arial"/>
          <w:szCs w:val="22"/>
        </w:rPr>
        <w:t xml:space="preserve"> Verwaltungstätigkeit</w:t>
      </w:r>
    </w:p>
    <w:p w:rsidR="00880736" w:rsidRPr="0016465C" w:rsidRDefault="00880736" w:rsidP="00880736">
      <w:pPr>
        <w:ind w:left="720"/>
        <w:jc w:val="both"/>
        <w:rPr>
          <w:rFonts w:cs="Arial"/>
          <w:szCs w:val="22"/>
        </w:rPr>
      </w:pPr>
      <w:r w:rsidRPr="0016465C">
        <w:rPr>
          <w:rFonts w:cs="Arial"/>
          <w:szCs w:val="22"/>
        </w:rPr>
        <w:t>7599 sonstige Finanzauszahlungen</w:t>
      </w:r>
    </w:p>
    <w:p w:rsidR="00880736" w:rsidRPr="0016465C" w:rsidRDefault="00880736" w:rsidP="00880736">
      <w:pPr>
        <w:ind w:left="720"/>
        <w:jc w:val="both"/>
        <w:rPr>
          <w:rFonts w:cs="Arial"/>
          <w:szCs w:val="22"/>
        </w:rPr>
      </w:pPr>
    </w:p>
    <w:p w:rsidR="00880736" w:rsidRPr="0016465C" w:rsidRDefault="00880736" w:rsidP="00880736">
      <w:pPr>
        <w:rPr>
          <w:rFonts w:cs="Arial"/>
          <w:szCs w:val="22"/>
        </w:rPr>
      </w:pPr>
      <w:r w:rsidRPr="0016465C">
        <w:rPr>
          <w:rFonts w:cs="Arial"/>
          <w:szCs w:val="22"/>
        </w:rPr>
        <w:t>Eine Verwendung dieser Konten speziell zum Zwecke von ergebnisrechnungsrelevanten Buchungen ist nicht zulässig. Bitte beachten Sie vor Übersendung der Datei, dass diese Konten entsprechend zu bereinigen sind und nur in begründeten Sonderfällen höhere Beträge enthalten dürfen (wie z.B. Einnahme der Entschuldungshilfe vom Land oder Zinseinnahmen aus der Versorgungsrücklage). Hinweise über höhere Beträge auf dem Begleitzettel oder in einer gesonderten Nachricht wären bei Übersendung der Datei hilfreich, um zusätzliche Nachfragen unsererseits zu vermeiden.</w:t>
      </w:r>
    </w:p>
    <w:p w:rsidR="00880736" w:rsidRPr="0016465C" w:rsidRDefault="00880736" w:rsidP="00880736">
      <w:pPr>
        <w:rPr>
          <w:rFonts w:cs="Arial"/>
          <w:sz w:val="16"/>
          <w:szCs w:val="16"/>
        </w:rPr>
      </w:pPr>
      <w:r w:rsidRPr="0016465C">
        <w:rPr>
          <w:rFonts w:cs="Arial"/>
          <w:noProof/>
          <w:szCs w:val="22"/>
        </w:rPr>
        <mc:AlternateContent>
          <mc:Choice Requires="wps">
            <w:drawing>
              <wp:anchor distT="0" distB="0" distL="114300" distR="114300" simplePos="0" relativeHeight="251667456" behindDoc="0" locked="0" layoutInCell="1" allowOverlap="1" wp14:anchorId="57222E55" wp14:editId="55584C31">
                <wp:simplePos x="0" y="0"/>
                <wp:positionH relativeFrom="margin">
                  <wp:posOffset>-28575</wp:posOffset>
                </wp:positionH>
                <wp:positionV relativeFrom="page">
                  <wp:posOffset>4619625</wp:posOffset>
                </wp:positionV>
                <wp:extent cx="6048375" cy="9525"/>
                <wp:effectExtent l="0" t="0" r="28575" b="28575"/>
                <wp:wrapSquare wrapText="bothSides"/>
                <wp:docPr id="8" name="Gerader Verbinder 8"/>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E0B12"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25pt,363.75pt" to="47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" strokecolor="black [3200]" strokeweight="1.5pt">
                <v:stroke joinstyle="miter"/>
                <w10:wrap type="square" anchorx="margin" anchory="page"/>
              </v:line>
            </w:pict>
          </mc:Fallback>
        </mc:AlternateContent>
      </w:r>
    </w:p>
    <w:p w:rsidR="00880736" w:rsidRPr="0016465C" w:rsidRDefault="00880736" w:rsidP="00880736">
      <w:pPr>
        <w:rPr>
          <w:rFonts w:cs="Arial"/>
          <w:b/>
          <w:szCs w:val="22"/>
        </w:rPr>
      </w:pPr>
      <w:r w:rsidRPr="0016465C">
        <w:rPr>
          <w:rFonts w:cs="Arial"/>
          <w:b/>
          <w:szCs w:val="22"/>
        </w:rPr>
        <w:t>Verbindliche Änderungen in der doppischen Haushaltssystematik ab 01. Januar 2021</w:t>
      </w:r>
    </w:p>
    <w:p w:rsidR="00880736" w:rsidRPr="0016465C" w:rsidRDefault="00880736" w:rsidP="00880736">
      <w:pPr>
        <w:spacing w:before="120"/>
        <w:jc w:val="both"/>
        <w:rPr>
          <w:rFonts w:cs="Arial"/>
          <w:sz w:val="16"/>
          <w:szCs w:val="16"/>
        </w:rPr>
      </w:pPr>
    </w:p>
    <w:p w:rsidR="00880736" w:rsidRPr="0016465C" w:rsidRDefault="00880736" w:rsidP="00880736">
      <w:pPr>
        <w:spacing w:before="120"/>
        <w:jc w:val="both"/>
        <w:rPr>
          <w:rFonts w:cs="Arial"/>
          <w:szCs w:val="22"/>
        </w:rPr>
      </w:pPr>
      <w:r w:rsidRPr="0016465C">
        <w:rPr>
          <w:rFonts w:cs="Arial"/>
          <w:b/>
          <w:szCs w:val="22"/>
        </w:rPr>
        <w:t>Kontenkatalog:</w:t>
      </w:r>
    </w:p>
    <w:p w:rsidR="00880736" w:rsidRPr="0016465C" w:rsidRDefault="00880736" w:rsidP="00880736">
      <w:pPr>
        <w:spacing w:before="120"/>
        <w:jc w:val="both"/>
        <w:rPr>
          <w:rFonts w:cs="Arial"/>
          <w:szCs w:val="22"/>
        </w:rPr>
      </w:pPr>
      <w:r>
        <w:rPr>
          <w:rFonts w:cs="Arial"/>
          <w:szCs w:val="22"/>
        </w:rPr>
        <w:t xml:space="preserve">68311 </w:t>
      </w:r>
      <w:r w:rsidRPr="0016465C">
        <w:rPr>
          <w:rFonts w:cs="Arial"/>
          <w:szCs w:val="22"/>
        </w:rPr>
        <w:t xml:space="preserve">Einzahlungen aus der Veräußerung v. beweglichen Vermögensgegenständen oberhalb der Wertgrenze </w:t>
      </w:r>
      <w:r w:rsidRPr="0016465C">
        <w:rPr>
          <w:rFonts w:cs="Arial"/>
          <w:strike/>
          <w:szCs w:val="22"/>
        </w:rPr>
        <w:t>v. 150,-</w:t>
      </w:r>
      <w:r w:rsidRPr="0016465C">
        <w:rPr>
          <w:rFonts w:cs="Arial"/>
          <w:szCs w:val="22"/>
        </w:rPr>
        <w:t xml:space="preserve"> 1.000 Euro und immateriellen Vermögensgegenständen</w:t>
      </w:r>
      <w:r w:rsidRPr="0016465C">
        <w:rPr>
          <w:rFonts w:cs="Arial"/>
          <w:szCs w:val="22"/>
        </w:rPr>
        <w:tab/>
      </w:r>
      <w:r w:rsidRPr="0016465C">
        <w:rPr>
          <w:rFonts w:cs="Arial"/>
          <w:szCs w:val="22"/>
        </w:rPr>
        <w:tab/>
      </w:r>
      <w:r w:rsidRPr="0016465C">
        <w:rPr>
          <w:rFonts w:cs="Arial"/>
          <w:szCs w:val="22"/>
        </w:rPr>
        <w:tab/>
      </w:r>
      <w:r w:rsidRPr="0016465C">
        <w:rPr>
          <w:rFonts w:cs="Arial"/>
          <w:szCs w:val="22"/>
        </w:rPr>
        <w:tab/>
      </w:r>
      <w:r w:rsidRPr="0016465C">
        <w:rPr>
          <w:rFonts w:cs="Arial"/>
          <w:szCs w:val="22"/>
        </w:rPr>
        <w:tab/>
      </w:r>
      <w:r w:rsidRPr="0016465C">
        <w:rPr>
          <w:rFonts w:cs="Arial"/>
          <w:szCs w:val="22"/>
        </w:rPr>
        <w:tab/>
      </w:r>
    </w:p>
    <w:p w:rsidR="00880736" w:rsidRPr="0016465C" w:rsidRDefault="00880736" w:rsidP="00880736">
      <w:pPr>
        <w:spacing w:before="120"/>
        <w:jc w:val="both"/>
        <w:rPr>
          <w:rFonts w:cs="Arial"/>
          <w:strike/>
          <w:szCs w:val="22"/>
        </w:rPr>
      </w:pPr>
      <w:r w:rsidRPr="0016465C">
        <w:rPr>
          <w:rFonts w:cs="Arial"/>
          <w:strike/>
          <w:szCs w:val="22"/>
        </w:rPr>
        <w:t>68312</w:t>
      </w:r>
      <w:r w:rsidRPr="0016465C">
        <w:rPr>
          <w:rFonts w:cs="Arial"/>
          <w:strike/>
          <w:szCs w:val="22"/>
        </w:rPr>
        <w:tab/>
        <w:t>Einzahlungen aus der Veräußerung von beweglichen Vermögensgegenständen über 150,- bis 1.000,- Euro</w:t>
      </w:r>
    </w:p>
    <w:p w:rsidR="00880736" w:rsidRPr="0016465C" w:rsidRDefault="00880736" w:rsidP="00880736">
      <w:pPr>
        <w:spacing w:before="120"/>
        <w:jc w:val="both"/>
        <w:rPr>
          <w:rFonts w:cs="Arial"/>
          <w:szCs w:val="22"/>
        </w:rPr>
      </w:pPr>
      <w:r w:rsidRPr="0016465C">
        <w:rPr>
          <w:rFonts w:cs="Arial"/>
          <w:szCs w:val="22"/>
        </w:rPr>
        <w:t>68313</w:t>
      </w:r>
      <w:r w:rsidRPr="0016465C">
        <w:rPr>
          <w:rFonts w:cs="Arial"/>
          <w:szCs w:val="22"/>
        </w:rPr>
        <w:tab/>
        <w:t>Einzahlungen aus der Veräußerung von immateriellen Vermögensgegenständen</w:t>
      </w:r>
      <w:r w:rsidRPr="0016465C">
        <w:rPr>
          <w:rFonts w:cs="Arial"/>
          <w:szCs w:val="22"/>
        </w:rPr>
        <w:tab/>
      </w:r>
      <w:r w:rsidRPr="0016465C">
        <w:rPr>
          <w:rFonts w:cs="Arial"/>
          <w:szCs w:val="22"/>
        </w:rPr>
        <w:tab/>
      </w:r>
      <w:r w:rsidRPr="0016465C">
        <w:rPr>
          <w:rFonts w:cs="Arial"/>
          <w:szCs w:val="22"/>
        </w:rPr>
        <w:tab/>
      </w:r>
      <w:r w:rsidRPr="0016465C">
        <w:rPr>
          <w:rFonts w:cs="Arial"/>
          <w:szCs w:val="22"/>
        </w:rPr>
        <w:tab/>
      </w:r>
    </w:p>
    <w:p w:rsidR="00880736" w:rsidRPr="0016465C" w:rsidRDefault="00880736" w:rsidP="00880736">
      <w:pPr>
        <w:spacing w:before="120"/>
        <w:jc w:val="both"/>
        <w:rPr>
          <w:rFonts w:cs="Arial"/>
          <w:szCs w:val="22"/>
        </w:rPr>
      </w:pPr>
      <w:r>
        <w:rPr>
          <w:rFonts w:cs="Arial"/>
          <w:szCs w:val="22"/>
        </w:rPr>
        <w:t xml:space="preserve">78311 </w:t>
      </w:r>
      <w:r w:rsidRPr="0016465C">
        <w:rPr>
          <w:rFonts w:cs="Arial"/>
          <w:szCs w:val="22"/>
        </w:rPr>
        <w:t xml:space="preserve">Auszahlungen für den Erwerb von beweglichen Vermögensgegenständen oberhalb der Wertgrenze von </w:t>
      </w:r>
      <w:r w:rsidRPr="0016465C">
        <w:rPr>
          <w:rFonts w:cs="Arial"/>
          <w:strike/>
          <w:szCs w:val="22"/>
        </w:rPr>
        <w:t>150,-</w:t>
      </w:r>
      <w:r w:rsidRPr="0016465C">
        <w:rPr>
          <w:rFonts w:cs="Arial"/>
          <w:szCs w:val="22"/>
        </w:rPr>
        <w:t xml:space="preserve"> 1.000 Euro</w:t>
      </w:r>
    </w:p>
    <w:p w:rsidR="00880736" w:rsidRPr="0016465C" w:rsidRDefault="00880736" w:rsidP="00880736">
      <w:pPr>
        <w:spacing w:before="120"/>
        <w:jc w:val="both"/>
        <w:rPr>
          <w:rFonts w:cs="Arial"/>
          <w:strike/>
          <w:szCs w:val="22"/>
        </w:rPr>
      </w:pPr>
      <w:r w:rsidRPr="0016465C">
        <w:rPr>
          <w:rFonts w:cs="Arial"/>
          <w:strike/>
          <w:szCs w:val="22"/>
        </w:rPr>
        <w:t>78312</w:t>
      </w:r>
      <w:r w:rsidRPr="0016465C">
        <w:rPr>
          <w:rFonts w:cs="Arial"/>
          <w:strike/>
          <w:szCs w:val="22"/>
        </w:rPr>
        <w:tab/>
        <w:t>Auszahlungen für den Erwerb von beweglichen Vermögensgegenständen über 150,- bis 1.000,- Euro (Sammelposten)</w:t>
      </w:r>
      <w:r w:rsidRPr="0016465C">
        <w:rPr>
          <w:rFonts w:cs="Arial"/>
          <w:strike/>
          <w:szCs w:val="22"/>
        </w:rPr>
        <w:tab/>
      </w:r>
      <w:r w:rsidRPr="0016465C">
        <w:rPr>
          <w:rFonts w:cs="Arial"/>
          <w:strike/>
          <w:szCs w:val="22"/>
        </w:rPr>
        <w:tab/>
      </w:r>
    </w:p>
    <w:p w:rsidR="00880736" w:rsidRPr="0016465C" w:rsidRDefault="00880736" w:rsidP="00880736">
      <w:pPr>
        <w:spacing w:before="120"/>
        <w:jc w:val="both"/>
        <w:rPr>
          <w:rFonts w:cs="Arial"/>
          <w:szCs w:val="22"/>
        </w:rPr>
      </w:pPr>
      <w:r w:rsidRPr="0016465C">
        <w:rPr>
          <w:rFonts w:cs="Arial"/>
          <w:szCs w:val="22"/>
        </w:rPr>
        <w:t>78313</w:t>
      </w:r>
      <w:r w:rsidRPr="0016465C">
        <w:rPr>
          <w:rFonts w:cs="Arial"/>
          <w:szCs w:val="22"/>
        </w:rPr>
        <w:tab/>
        <w:t>Auszahlungen für den Erwerb von immateriellen Vermögensgegenständen</w:t>
      </w:r>
      <w:r w:rsidRPr="0016465C">
        <w:rPr>
          <w:rFonts w:cs="Arial"/>
          <w:szCs w:val="22"/>
        </w:rPr>
        <w:tab/>
      </w:r>
      <w:r w:rsidRPr="0016465C">
        <w:rPr>
          <w:rFonts w:cs="Arial"/>
          <w:szCs w:val="22"/>
        </w:rPr>
        <w:tab/>
      </w:r>
    </w:p>
    <w:p w:rsidR="00880736" w:rsidRPr="0016465C" w:rsidRDefault="00880736" w:rsidP="00880736">
      <w:pPr>
        <w:spacing w:before="120"/>
        <w:jc w:val="both"/>
        <w:rPr>
          <w:rFonts w:cs="Arial"/>
          <w:szCs w:val="22"/>
        </w:rPr>
      </w:pPr>
    </w:p>
    <w:p w:rsidR="00880736" w:rsidRPr="0016465C" w:rsidRDefault="00880736" w:rsidP="00880736">
      <w:pPr>
        <w:spacing w:before="120"/>
        <w:jc w:val="both"/>
        <w:rPr>
          <w:rFonts w:cs="Arial"/>
          <w:b/>
          <w:szCs w:val="22"/>
        </w:rPr>
      </w:pPr>
      <w:r w:rsidRPr="0016465C">
        <w:rPr>
          <w:rFonts w:cs="Arial"/>
          <w:b/>
          <w:szCs w:val="22"/>
        </w:rPr>
        <w:t>Produktkatalog:</w:t>
      </w:r>
    </w:p>
    <w:p w:rsidR="00880736" w:rsidRPr="0016465C" w:rsidRDefault="00880736" w:rsidP="00880736">
      <w:pPr>
        <w:spacing w:before="120"/>
        <w:jc w:val="both"/>
        <w:rPr>
          <w:rFonts w:cs="Arial"/>
          <w:szCs w:val="22"/>
        </w:rPr>
      </w:pPr>
      <w:r w:rsidRPr="0016465C">
        <w:rPr>
          <w:rFonts w:cs="Arial"/>
          <w:szCs w:val="22"/>
        </w:rPr>
        <w:t>31401</w:t>
      </w:r>
      <w:r w:rsidRPr="0016465C">
        <w:rPr>
          <w:rFonts w:cs="Arial"/>
          <w:szCs w:val="22"/>
        </w:rPr>
        <w:tab/>
        <w:t xml:space="preserve">Zahlungen Abrechnung nach dem SGB IX § </w:t>
      </w:r>
      <w:r w:rsidRPr="0016465C">
        <w:rPr>
          <w:rFonts w:cs="Arial"/>
          <w:szCs w:val="22"/>
          <w:u w:val="single"/>
        </w:rPr>
        <w:t>22 Nds. AG SGB IX/XII</w:t>
      </w:r>
      <w:r w:rsidRPr="0016465C">
        <w:rPr>
          <w:rFonts w:cs="Arial"/>
          <w:szCs w:val="22"/>
        </w:rPr>
        <w:tab/>
      </w:r>
      <w:r w:rsidRPr="0016465C">
        <w:rPr>
          <w:rFonts w:cs="Arial"/>
          <w:szCs w:val="22"/>
        </w:rPr>
        <w:tab/>
      </w:r>
    </w:p>
    <w:p w:rsidR="00880736" w:rsidRPr="0016465C" w:rsidRDefault="00880736" w:rsidP="00880736">
      <w:pPr>
        <w:spacing w:before="120"/>
        <w:jc w:val="both"/>
        <w:rPr>
          <w:rFonts w:cs="Arial"/>
          <w:b/>
          <w:szCs w:val="22"/>
        </w:rPr>
      </w:pPr>
      <w:r w:rsidRPr="0016465C">
        <w:rPr>
          <w:rFonts w:cs="Arial"/>
          <w:szCs w:val="22"/>
        </w:rPr>
        <w:t>31402</w:t>
      </w:r>
      <w:r w:rsidRPr="0016465C">
        <w:rPr>
          <w:rFonts w:cs="Arial"/>
          <w:szCs w:val="22"/>
        </w:rPr>
        <w:tab/>
        <w:t>Erstattungen des Landes nach dem SGB IX (Übergangs</w:t>
      </w:r>
      <w:r w:rsidRPr="0016465C">
        <w:rPr>
          <w:rFonts w:cs="Arial"/>
          <w:strike/>
          <w:szCs w:val="22"/>
        </w:rPr>
        <w:t>regelung</w:t>
      </w:r>
      <w:r w:rsidRPr="0016465C">
        <w:rPr>
          <w:rFonts w:cs="Arial"/>
          <w:szCs w:val="22"/>
        </w:rPr>
        <w:t xml:space="preserve"> -bestimmungen </w:t>
      </w:r>
      <w:r w:rsidRPr="0016465C">
        <w:rPr>
          <w:rFonts w:cs="Arial"/>
          <w:strike/>
          <w:szCs w:val="22"/>
        </w:rPr>
        <w:t>nach dem</w:t>
      </w:r>
      <w:r w:rsidRPr="0016465C">
        <w:rPr>
          <w:rFonts w:cs="Arial"/>
          <w:szCs w:val="22"/>
        </w:rPr>
        <w:t xml:space="preserve"> </w:t>
      </w:r>
      <w:r w:rsidRPr="0016465C">
        <w:rPr>
          <w:rFonts w:cs="Arial"/>
          <w:szCs w:val="22"/>
          <w:u w:val="single"/>
        </w:rPr>
        <w:t>§ 28</w:t>
      </w:r>
      <w:r w:rsidRPr="0016465C">
        <w:rPr>
          <w:rFonts w:cs="Arial"/>
          <w:szCs w:val="22"/>
        </w:rPr>
        <w:t xml:space="preserve"> Nds. AG SGB IX/ XII)</w:t>
      </w:r>
      <w:r w:rsidRPr="0016465C">
        <w:rPr>
          <w:rFonts w:cs="Arial"/>
          <w:szCs w:val="22"/>
        </w:rPr>
        <w:tab/>
      </w:r>
      <w:r w:rsidRPr="0016465C">
        <w:rPr>
          <w:rFonts w:cs="Arial"/>
          <w:b/>
          <w:szCs w:val="22"/>
        </w:rPr>
        <w:tab/>
      </w:r>
    </w:p>
    <w:p w:rsidR="00880736" w:rsidRDefault="00880736" w:rsidP="00880736">
      <w:pPr>
        <w:spacing w:before="120"/>
        <w:jc w:val="both"/>
        <w:rPr>
          <w:rFonts w:cs="Arial"/>
          <w:szCs w:val="22"/>
          <w:u w:val="single"/>
        </w:rPr>
      </w:pPr>
    </w:p>
    <w:p w:rsidR="00880736" w:rsidRPr="0016465C" w:rsidRDefault="00880736" w:rsidP="00880736">
      <w:pPr>
        <w:spacing w:before="120"/>
        <w:jc w:val="both"/>
        <w:rPr>
          <w:rFonts w:cs="Arial"/>
          <w:szCs w:val="22"/>
          <w:u w:val="single"/>
        </w:rPr>
      </w:pPr>
      <w:r w:rsidRPr="0016465C">
        <w:rPr>
          <w:rFonts w:cs="Arial"/>
          <w:szCs w:val="22"/>
          <w:u w:val="single"/>
        </w:rPr>
        <w:lastRenderedPageBreak/>
        <w:t xml:space="preserve">Neue </w:t>
      </w:r>
      <w:r>
        <w:rPr>
          <w:rFonts w:cs="Arial"/>
          <w:szCs w:val="22"/>
          <w:u w:val="single"/>
        </w:rPr>
        <w:t>Produkte</w:t>
      </w:r>
      <w:r w:rsidRPr="0016465C">
        <w:rPr>
          <w:rFonts w:cs="Arial"/>
          <w:szCs w:val="22"/>
          <w:u w:val="single"/>
        </w:rPr>
        <w:t>:</w:t>
      </w:r>
    </w:p>
    <w:p w:rsidR="00880736" w:rsidRPr="0016465C" w:rsidRDefault="00880736" w:rsidP="00880736">
      <w:pPr>
        <w:spacing w:before="120"/>
        <w:jc w:val="both"/>
        <w:rPr>
          <w:rFonts w:cs="Arial"/>
          <w:szCs w:val="22"/>
        </w:rPr>
      </w:pPr>
      <w:r w:rsidRPr="0016465C">
        <w:rPr>
          <w:rFonts w:cs="Arial"/>
          <w:strike/>
          <w:szCs w:val="22"/>
        </w:rPr>
        <w:t>315</w:t>
      </w:r>
      <w:r w:rsidRPr="0016465C">
        <w:rPr>
          <w:rFonts w:cs="Arial"/>
          <w:szCs w:val="22"/>
        </w:rPr>
        <w:tab/>
      </w:r>
      <w:r w:rsidRPr="0016465C">
        <w:rPr>
          <w:rFonts w:cs="Arial"/>
          <w:strike/>
          <w:szCs w:val="22"/>
        </w:rPr>
        <w:t>Soziale Einrichtungen (als Summe ohne Produkt 3155)</w:t>
      </w:r>
      <w:r w:rsidRPr="0016465C">
        <w:rPr>
          <w:rFonts w:cs="Arial"/>
          <w:szCs w:val="22"/>
        </w:rPr>
        <w:tab/>
      </w:r>
      <w:r w:rsidRPr="0016465C">
        <w:rPr>
          <w:rFonts w:cs="Arial"/>
          <w:szCs w:val="22"/>
        </w:rPr>
        <w:tab/>
      </w:r>
    </w:p>
    <w:p w:rsidR="00880736" w:rsidRPr="0016465C" w:rsidRDefault="00880736" w:rsidP="00880736">
      <w:pPr>
        <w:spacing w:before="120"/>
        <w:jc w:val="both"/>
        <w:rPr>
          <w:rFonts w:cs="Arial"/>
          <w:szCs w:val="22"/>
        </w:rPr>
      </w:pPr>
      <w:r w:rsidRPr="0016465C">
        <w:rPr>
          <w:rFonts w:cs="Arial"/>
          <w:szCs w:val="22"/>
        </w:rPr>
        <w:t>3151</w:t>
      </w:r>
      <w:r w:rsidRPr="0016465C">
        <w:rPr>
          <w:rFonts w:cs="Arial"/>
          <w:szCs w:val="22"/>
        </w:rPr>
        <w:tab/>
        <w:t>Soziale Einrichtungen für Ältere (ohne Pflegeeinrichtungen)</w:t>
      </w:r>
      <w:r w:rsidRPr="0016465C">
        <w:rPr>
          <w:rFonts w:cs="Arial"/>
          <w:szCs w:val="22"/>
        </w:rPr>
        <w:tab/>
      </w:r>
      <w:r w:rsidRPr="0016465C">
        <w:rPr>
          <w:rFonts w:cs="Arial"/>
          <w:szCs w:val="22"/>
        </w:rPr>
        <w:tab/>
      </w:r>
    </w:p>
    <w:p w:rsidR="00880736" w:rsidRPr="007E611A" w:rsidRDefault="00880736" w:rsidP="00880736">
      <w:pPr>
        <w:spacing w:before="120"/>
        <w:jc w:val="both"/>
        <w:rPr>
          <w:rFonts w:ascii="NDSFrutiger 45 Light" w:hAnsi="NDSFrutiger 45 Light"/>
          <w:szCs w:val="22"/>
        </w:rPr>
      </w:pPr>
      <w:r w:rsidRPr="0016465C">
        <w:rPr>
          <w:rFonts w:cs="Arial"/>
          <w:szCs w:val="22"/>
        </w:rPr>
        <w:t>3152</w:t>
      </w:r>
      <w:r w:rsidRPr="0016465C">
        <w:rPr>
          <w:rFonts w:cs="Arial"/>
          <w:szCs w:val="22"/>
        </w:rPr>
        <w:tab/>
        <w:t>Soziale Einrichtungen für pflegebedürftige Menschen</w:t>
      </w:r>
      <w:r w:rsidRPr="007E611A">
        <w:rPr>
          <w:rFonts w:ascii="NDSFrutiger 45 Light" w:hAnsi="NDSFrutiger 45 Light"/>
          <w:szCs w:val="22"/>
        </w:rPr>
        <w:tab/>
      </w:r>
      <w:r w:rsidRPr="007E611A">
        <w:rPr>
          <w:rFonts w:ascii="NDSFrutiger 45 Light" w:hAnsi="NDSFrutiger 45 Light"/>
          <w:szCs w:val="22"/>
        </w:rPr>
        <w:tab/>
      </w:r>
    </w:p>
    <w:p w:rsidR="00880736" w:rsidRPr="0000768F" w:rsidRDefault="00880736" w:rsidP="00880736">
      <w:pPr>
        <w:spacing w:before="120"/>
        <w:jc w:val="both"/>
        <w:rPr>
          <w:rFonts w:cs="Arial"/>
          <w:szCs w:val="22"/>
        </w:rPr>
      </w:pPr>
      <w:r w:rsidRPr="0000768F">
        <w:rPr>
          <w:rFonts w:cs="Arial"/>
          <w:szCs w:val="22"/>
        </w:rPr>
        <w:t>3153</w:t>
      </w:r>
      <w:r w:rsidRPr="0000768F">
        <w:rPr>
          <w:rFonts w:cs="Arial"/>
          <w:szCs w:val="22"/>
        </w:rPr>
        <w:tab/>
        <w:t>Soziale Einrichtungen für Menschen mit Behinderungen</w:t>
      </w:r>
      <w:r w:rsidRPr="0000768F">
        <w:rPr>
          <w:rFonts w:cs="Arial"/>
          <w:szCs w:val="22"/>
        </w:rPr>
        <w:tab/>
      </w:r>
      <w:r w:rsidRPr="0000768F">
        <w:rPr>
          <w:rFonts w:cs="Arial"/>
          <w:szCs w:val="22"/>
        </w:rPr>
        <w:tab/>
      </w:r>
    </w:p>
    <w:p w:rsidR="00880736" w:rsidRPr="0000768F" w:rsidRDefault="00880736" w:rsidP="00880736">
      <w:pPr>
        <w:spacing w:before="120"/>
        <w:jc w:val="both"/>
        <w:rPr>
          <w:rFonts w:cs="Arial"/>
          <w:szCs w:val="22"/>
        </w:rPr>
      </w:pPr>
      <w:r w:rsidRPr="0000768F">
        <w:rPr>
          <w:rFonts w:cs="Arial"/>
          <w:szCs w:val="22"/>
        </w:rPr>
        <w:t>3154</w:t>
      </w:r>
      <w:r w:rsidRPr="0000768F">
        <w:rPr>
          <w:rFonts w:cs="Arial"/>
          <w:szCs w:val="22"/>
        </w:rPr>
        <w:tab/>
        <w:t>Soziale Einrichtungen für Wohnungslose</w:t>
      </w:r>
      <w:r w:rsidRPr="0000768F">
        <w:rPr>
          <w:rFonts w:cs="Arial"/>
          <w:szCs w:val="22"/>
        </w:rPr>
        <w:tab/>
      </w:r>
      <w:r w:rsidRPr="0000768F">
        <w:rPr>
          <w:rFonts w:cs="Arial"/>
          <w:szCs w:val="22"/>
        </w:rPr>
        <w:tab/>
      </w:r>
    </w:p>
    <w:p w:rsidR="00880736" w:rsidRPr="0000768F" w:rsidRDefault="00880736" w:rsidP="00880736">
      <w:pPr>
        <w:spacing w:before="120"/>
        <w:jc w:val="both"/>
        <w:rPr>
          <w:rFonts w:cs="Arial"/>
          <w:szCs w:val="22"/>
        </w:rPr>
      </w:pPr>
      <w:r w:rsidRPr="0000768F">
        <w:rPr>
          <w:rFonts w:cs="Arial"/>
          <w:szCs w:val="22"/>
        </w:rPr>
        <w:t>3155</w:t>
      </w:r>
      <w:r w:rsidRPr="0000768F">
        <w:rPr>
          <w:rFonts w:cs="Arial"/>
          <w:szCs w:val="22"/>
        </w:rPr>
        <w:tab/>
        <w:t xml:space="preserve">Soziale Einrichtungen für Aussiedler und Ausländer </w:t>
      </w:r>
      <w:r w:rsidRPr="0000768F">
        <w:rPr>
          <w:rFonts w:cs="Arial"/>
          <w:strike/>
          <w:szCs w:val="22"/>
        </w:rPr>
        <w:t>(wenn 3155 besetzt, dann nicht auch in 315)</w:t>
      </w:r>
    </w:p>
    <w:p w:rsidR="00880736" w:rsidRPr="0000768F" w:rsidRDefault="00880736" w:rsidP="00880736">
      <w:pPr>
        <w:spacing w:before="120"/>
        <w:jc w:val="both"/>
        <w:rPr>
          <w:rFonts w:cs="Arial"/>
          <w:szCs w:val="22"/>
        </w:rPr>
      </w:pPr>
      <w:r w:rsidRPr="0000768F">
        <w:rPr>
          <w:rFonts w:cs="Arial"/>
          <w:szCs w:val="22"/>
        </w:rPr>
        <w:t>3156</w:t>
      </w:r>
      <w:r w:rsidRPr="0000768F">
        <w:rPr>
          <w:rFonts w:cs="Arial"/>
          <w:szCs w:val="22"/>
        </w:rPr>
        <w:tab/>
        <w:t xml:space="preserve">Andere soziale Einrichtungen </w:t>
      </w:r>
    </w:p>
    <w:p w:rsidR="00880736" w:rsidRPr="0000768F" w:rsidRDefault="00880736" w:rsidP="00880736">
      <w:pPr>
        <w:spacing w:before="120"/>
        <w:jc w:val="both"/>
        <w:rPr>
          <w:rFonts w:cs="Arial"/>
          <w:szCs w:val="22"/>
        </w:rPr>
      </w:pPr>
    </w:p>
    <w:p w:rsidR="00D46FB7" w:rsidRDefault="00880736" w:rsidP="00880736">
      <w:pPr>
        <w:tabs>
          <w:tab w:val="left" w:pos="0"/>
          <w:tab w:val="left" w:pos="708"/>
          <w:tab w:val="left" w:pos="3403"/>
          <w:tab w:val="left" w:pos="6804"/>
          <w:tab w:val="right" w:pos="9639"/>
        </w:tabs>
        <w:rPr>
          <w:rFonts w:cs="Arial"/>
          <w:szCs w:val="22"/>
        </w:rPr>
      </w:pPr>
      <w:r w:rsidRPr="0000768F">
        <w:rPr>
          <w:rFonts w:cs="Arial"/>
          <w:szCs w:val="22"/>
        </w:rPr>
        <w:t>536</w:t>
      </w:r>
      <w:r w:rsidRPr="0000768F">
        <w:rPr>
          <w:rFonts w:cs="Arial"/>
          <w:szCs w:val="22"/>
        </w:rPr>
        <w:tab/>
        <w:t>Versorgung mit technischer Informations- und Telekommunikationsinfrastruktur</w:t>
      </w:r>
    </w:p>
    <w:p w:rsidR="00D46FB7" w:rsidRDefault="00D46FB7">
      <w:pPr>
        <w:rPr>
          <w:rFonts w:cs="Arial"/>
          <w:szCs w:val="22"/>
        </w:rPr>
      </w:pPr>
      <w:r>
        <w:rPr>
          <w:rFonts w:cs="Arial"/>
          <w:szCs w:val="22"/>
        </w:rPr>
        <w:br w:type="page"/>
      </w:r>
    </w:p>
    <w:p w:rsidR="00D46FB7" w:rsidRPr="00224F72" w:rsidRDefault="00D46FB7" w:rsidP="00D46FB7">
      <w:pPr>
        <w:rPr>
          <w:rFonts w:cs="Arial"/>
          <w:b/>
        </w:rPr>
      </w:pPr>
      <w:bookmarkStart w:id="8" w:name="_Hlk87508764"/>
      <w:r w:rsidRPr="00224F72">
        <w:rPr>
          <w:rFonts w:cs="Arial"/>
          <w:b/>
        </w:rPr>
        <w:lastRenderedPageBreak/>
        <w:t>Jährliche Schuldenstatistik (</w:t>
      </w:r>
      <w:r>
        <w:rPr>
          <w:rFonts w:cs="Arial"/>
          <w:b/>
        </w:rPr>
        <w:t>FS</w:t>
      </w:r>
      <w:r w:rsidRPr="00224F72">
        <w:rPr>
          <w:rFonts w:cs="Arial"/>
          <w:b/>
        </w:rPr>
        <w:t>) für den Stand 31.12.202</w:t>
      </w:r>
      <w:r>
        <w:rPr>
          <w:rFonts w:cs="Arial"/>
          <w:b/>
        </w:rPr>
        <w:t>2</w:t>
      </w:r>
    </w:p>
    <w:p w:rsidR="00D46FB7" w:rsidRPr="00224F72" w:rsidRDefault="00D46FB7" w:rsidP="00D46FB7">
      <w:pPr>
        <w:rPr>
          <w:rFonts w:cs="Arial"/>
          <w:sz w:val="16"/>
          <w:szCs w:val="16"/>
        </w:rPr>
      </w:pPr>
    </w:p>
    <w:p w:rsidR="00D46FB7" w:rsidRPr="00224F72" w:rsidRDefault="00D46FB7" w:rsidP="00D46FB7">
      <w:pPr>
        <w:rPr>
          <w:rFonts w:cs="Arial"/>
        </w:rPr>
      </w:pPr>
      <w:bookmarkStart w:id="9" w:name="_Hlk87508999"/>
      <w:r w:rsidRPr="00224F72">
        <w:rPr>
          <w:rFonts w:cs="Arial"/>
        </w:rPr>
        <w:t>Ansprechpartner: Frau Gerken-Westphal</w:t>
      </w:r>
    </w:p>
    <w:p w:rsidR="00D46FB7" w:rsidRPr="00224F72" w:rsidRDefault="00D46FB7" w:rsidP="00D46FB7">
      <w:pPr>
        <w:rPr>
          <w:rFonts w:cs="Arial"/>
        </w:rPr>
      </w:pPr>
      <w:r w:rsidRPr="00224F72">
        <w:rPr>
          <w:rFonts w:cs="Arial"/>
        </w:rPr>
        <w:t>Tel.: 0511 / 9898 3230</w:t>
      </w:r>
    </w:p>
    <w:p w:rsidR="00D46FB7" w:rsidRPr="00224F72" w:rsidRDefault="00D46FB7" w:rsidP="00D46FB7">
      <w:pPr>
        <w:rPr>
          <w:rFonts w:cs="Arial"/>
        </w:rPr>
      </w:pPr>
      <w:r w:rsidRPr="00224F72">
        <w:rPr>
          <w:rFonts w:cs="Arial"/>
        </w:rPr>
        <w:t xml:space="preserve">E-Mail: </w:t>
      </w:r>
      <w:hyperlink r:id="rId20" w:history="1">
        <w:r w:rsidRPr="00224F72">
          <w:rPr>
            <w:rFonts w:cs="Arial"/>
            <w:color w:val="0000FF"/>
            <w:u w:val="single"/>
          </w:rPr>
          <w:t>Schulden-Vermoegen@statistik.niedersachsen.de</w:t>
        </w:r>
      </w:hyperlink>
    </w:p>
    <w:p w:rsidR="00D46FB7" w:rsidRPr="00D46FB7" w:rsidRDefault="00D46FB7" w:rsidP="00D46FB7">
      <w:pPr>
        <w:rPr>
          <w:rFonts w:cs="Arial"/>
        </w:rPr>
      </w:pPr>
      <w:r w:rsidRPr="00D46FB7">
        <w:rPr>
          <w:rFonts w:cs="Arial"/>
        </w:rPr>
        <w:t>Aktenzeichen: 43.19717</w:t>
      </w:r>
    </w:p>
    <w:p w:rsidR="00D46FB7" w:rsidRPr="00D46FB7" w:rsidRDefault="00D46FB7" w:rsidP="00D46FB7">
      <w:pPr>
        <w:rPr>
          <w:rFonts w:cs="Arial"/>
          <w:sz w:val="16"/>
          <w:szCs w:val="16"/>
        </w:rPr>
      </w:pPr>
    </w:p>
    <w:p w:rsidR="00D46FB7" w:rsidRPr="00224F72" w:rsidRDefault="00D46FB7" w:rsidP="00D46FB7">
      <w:pPr>
        <w:rPr>
          <w:rFonts w:cs="Arial"/>
          <w:b/>
        </w:rPr>
      </w:pPr>
      <w:r w:rsidRPr="00D46FB7">
        <w:rPr>
          <w:rFonts w:cs="Arial"/>
          <w:b/>
        </w:rPr>
        <w:t>Abgabetermin: 10. Februar 2023</w:t>
      </w:r>
    </w:p>
    <w:p w:rsidR="00D46FB7" w:rsidRPr="00224F72" w:rsidRDefault="00D46FB7" w:rsidP="00D46FB7">
      <w:pPr>
        <w:rPr>
          <w:rFonts w:cs="Arial"/>
          <w:sz w:val="16"/>
          <w:szCs w:val="16"/>
        </w:rPr>
      </w:pPr>
    </w:p>
    <w:p w:rsidR="00D46FB7" w:rsidRPr="00224F72" w:rsidRDefault="00D46FB7" w:rsidP="00D46FB7">
      <w:pPr>
        <w:rPr>
          <w:rFonts w:cs="Arial"/>
          <w:b/>
        </w:rPr>
      </w:pPr>
      <w:r w:rsidRPr="00224F72">
        <w:rPr>
          <w:rFonts w:cs="Arial"/>
          <w:b/>
        </w:rPr>
        <w:t>Bearbeitungshinweise:</w:t>
      </w:r>
    </w:p>
    <w:p w:rsidR="00D46FB7" w:rsidRPr="00224F72" w:rsidRDefault="00D46FB7" w:rsidP="00D46FB7">
      <w:pPr>
        <w:rPr>
          <w:rFonts w:cs="Arial"/>
          <w:sz w:val="16"/>
          <w:szCs w:val="16"/>
        </w:rPr>
      </w:pPr>
    </w:p>
    <w:p w:rsidR="00D46FB7" w:rsidRPr="00224F72" w:rsidRDefault="00D46FB7" w:rsidP="00D46FB7">
      <w:pPr>
        <w:jc w:val="both"/>
        <w:rPr>
          <w:rFonts w:cs="Arial"/>
        </w:rPr>
      </w:pPr>
      <w:r w:rsidRPr="00224F72">
        <w:rPr>
          <w:rFonts w:cs="Arial"/>
        </w:rPr>
        <w:t xml:space="preserve">Im Internet unter </w:t>
      </w:r>
      <w:r w:rsidRPr="00224F72">
        <w:rPr>
          <w:rFonts w:cs="Arial"/>
          <w:b/>
        </w:rPr>
        <w:t xml:space="preserve">www.statistik.niedersachsen.de </w:t>
      </w:r>
      <w:r w:rsidRPr="00224F72">
        <w:rPr>
          <w:rFonts w:cs="Arial"/>
        </w:rPr>
        <w:t xml:space="preserve">unter </w:t>
      </w:r>
    </w:p>
    <w:p w:rsidR="00D46FB7" w:rsidRPr="00224F72" w:rsidRDefault="00D46FB7" w:rsidP="00D46FB7">
      <w:pPr>
        <w:jc w:val="both"/>
        <w:rPr>
          <w:rFonts w:cs="Arial"/>
          <w:sz w:val="16"/>
          <w:szCs w:val="16"/>
        </w:rPr>
      </w:pPr>
    </w:p>
    <w:p w:rsidR="00D46FB7" w:rsidRPr="00224F72" w:rsidRDefault="00D46FB7" w:rsidP="00D46FB7">
      <w:pPr>
        <w:jc w:val="both"/>
        <w:rPr>
          <w:rFonts w:cs="Arial"/>
        </w:rPr>
      </w:pPr>
      <w:r w:rsidRPr="00224F72">
        <w:rPr>
          <w:rFonts w:cs="Arial"/>
        </w:rPr>
        <w:t xml:space="preserve"> =&gt; Themen =&gt; Finanzen, Steuern, Personal =&gt; Übersicht =&gt; Finanzen in Niedersachsen =&gt; </w:t>
      </w:r>
      <w:hyperlink r:id="rId21" w:tgtFrame="_self" w:history="1">
        <w:r w:rsidRPr="00224F72">
          <w:rPr>
            <w:rFonts w:cs="Arial"/>
          </w:rPr>
          <w:t>Schulden</w:t>
        </w:r>
        <w:r>
          <w:rPr>
            <w:rFonts w:cs="Arial"/>
          </w:rPr>
          <w:t>-</w:t>
        </w:r>
        <w:r w:rsidRPr="00224F72">
          <w:rPr>
            <w:rFonts w:cs="Arial"/>
          </w:rPr>
          <w:t xml:space="preserve"> und Finanzvermögen</w:t>
        </w:r>
      </w:hyperlink>
      <w:r w:rsidRPr="00224F72">
        <w:rPr>
          <w:rFonts w:cs="Arial"/>
        </w:rPr>
        <w:t>sstatistik in Niedersachsen =&gt; Informationen für Auskunftspflichtige</w:t>
      </w:r>
    </w:p>
    <w:p w:rsidR="00D46FB7" w:rsidRPr="00224F72" w:rsidRDefault="00D46FB7" w:rsidP="00D46FB7">
      <w:pPr>
        <w:jc w:val="both"/>
        <w:rPr>
          <w:rFonts w:cs="Arial"/>
          <w:sz w:val="16"/>
          <w:szCs w:val="16"/>
        </w:rPr>
      </w:pPr>
    </w:p>
    <w:p w:rsidR="00D46FB7" w:rsidRPr="00224F72" w:rsidRDefault="00D46FB7" w:rsidP="00D46FB7">
      <w:pPr>
        <w:jc w:val="both"/>
        <w:rPr>
          <w:rFonts w:cs="Arial"/>
        </w:rPr>
      </w:pPr>
      <w:r w:rsidRPr="00224F72">
        <w:rPr>
          <w:rFonts w:cs="Arial"/>
        </w:rPr>
        <w:t>finden Sie alle wichtigen Unterlagen und Informationen:</w:t>
      </w:r>
    </w:p>
    <w:p w:rsidR="00D46FB7" w:rsidRPr="00224F72" w:rsidRDefault="00D46FB7" w:rsidP="00D46FB7">
      <w:pPr>
        <w:jc w:val="both"/>
        <w:rPr>
          <w:rFonts w:cs="Arial"/>
          <w:sz w:val="16"/>
          <w:szCs w:val="16"/>
        </w:rPr>
      </w:pPr>
    </w:p>
    <w:p w:rsidR="00D46FB7" w:rsidRPr="00224F72" w:rsidRDefault="00D46FB7" w:rsidP="00D46FB7">
      <w:pPr>
        <w:numPr>
          <w:ilvl w:val="0"/>
          <w:numId w:val="4"/>
        </w:numPr>
        <w:contextualSpacing/>
        <w:jc w:val="both"/>
        <w:rPr>
          <w:rFonts w:cs="Arial"/>
        </w:rPr>
      </w:pPr>
      <w:r w:rsidRPr="00224F72">
        <w:rPr>
          <w:rFonts w:cs="Arial"/>
        </w:rPr>
        <w:t>eine Anleitung für den IDEV Versand</w:t>
      </w:r>
    </w:p>
    <w:p w:rsidR="00D46FB7" w:rsidRPr="00224F72" w:rsidRDefault="00D46FB7" w:rsidP="00D46FB7">
      <w:pPr>
        <w:numPr>
          <w:ilvl w:val="0"/>
          <w:numId w:val="4"/>
        </w:numPr>
        <w:contextualSpacing/>
        <w:jc w:val="both"/>
        <w:rPr>
          <w:rFonts w:cs="Arial"/>
        </w:rPr>
      </w:pPr>
      <w:r w:rsidRPr="00224F72">
        <w:rPr>
          <w:rFonts w:cs="Arial"/>
        </w:rPr>
        <w:t xml:space="preserve">eine Excel-Eingabedatei zum Download. Alternativ zur direkten Eingabe in das IDEV-Online Formular kann mit der Excel-Datei offline eine Dateneingabe durchgeführt werden. Aus der Excel-Anwendung kann eine Textdatei im </w:t>
      </w:r>
      <w:proofErr w:type="spellStart"/>
      <w:r w:rsidRPr="00224F72">
        <w:rPr>
          <w:rFonts w:cs="Arial"/>
        </w:rPr>
        <w:t>csv</w:t>
      </w:r>
      <w:proofErr w:type="spellEnd"/>
      <w:r w:rsidRPr="00224F72">
        <w:rPr>
          <w:rFonts w:cs="Arial"/>
        </w:rPr>
        <w:t>-Format exportiert werden, die dann in das IDEV-Online-Formular importiert werden kann.</w:t>
      </w:r>
    </w:p>
    <w:p w:rsidR="00D46FB7" w:rsidRPr="00224F72" w:rsidRDefault="00540D64" w:rsidP="00D46FB7">
      <w:pPr>
        <w:numPr>
          <w:ilvl w:val="0"/>
          <w:numId w:val="4"/>
        </w:numPr>
        <w:contextualSpacing/>
        <w:jc w:val="both"/>
        <w:rPr>
          <w:rFonts w:cs="Arial"/>
        </w:rPr>
      </w:pPr>
      <w:r w:rsidRPr="00224F72">
        <w:rPr>
          <w:rFonts w:cs="Arial"/>
        </w:rPr>
        <w:t xml:space="preserve">eine </w:t>
      </w:r>
      <w:r>
        <w:rPr>
          <w:rFonts w:cs="Arial"/>
        </w:rPr>
        <w:t>s</w:t>
      </w:r>
      <w:r w:rsidRPr="00224F72">
        <w:rPr>
          <w:rFonts w:cs="Arial"/>
        </w:rPr>
        <w:t>chwarz-weiße Druckvorlage</w:t>
      </w:r>
      <w:r w:rsidR="00D46FB7" w:rsidRPr="00224F72">
        <w:rPr>
          <w:rFonts w:cs="Arial"/>
        </w:rPr>
        <w:t xml:space="preserve"> des Fragebogens für Ihre Unterlagen</w:t>
      </w:r>
    </w:p>
    <w:p w:rsidR="00D46FB7" w:rsidRDefault="00D46FB7" w:rsidP="00D46FB7">
      <w:pPr>
        <w:numPr>
          <w:ilvl w:val="0"/>
          <w:numId w:val="4"/>
        </w:numPr>
        <w:contextualSpacing/>
        <w:jc w:val="both"/>
        <w:rPr>
          <w:rFonts w:cs="Arial"/>
        </w:rPr>
      </w:pPr>
      <w:r w:rsidRPr="00224F72">
        <w:rPr>
          <w:rFonts w:cs="Arial"/>
        </w:rPr>
        <w:t>eine Synopse mit den Änderungen im Erhebungsprogramm gegenüber dem Vorjahr</w:t>
      </w:r>
    </w:p>
    <w:p w:rsidR="00EA11FE" w:rsidRDefault="00EA11FE" w:rsidP="00EA11FE">
      <w:pPr>
        <w:contextualSpacing/>
        <w:jc w:val="both"/>
        <w:rPr>
          <w:rFonts w:cs="Arial"/>
        </w:rPr>
      </w:pPr>
    </w:p>
    <w:p w:rsidR="00EA11FE" w:rsidRPr="00224F72" w:rsidRDefault="00EA11FE" w:rsidP="00EA11FE">
      <w:pPr>
        <w:contextualSpacing/>
        <w:jc w:val="both"/>
        <w:rPr>
          <w:rFonts w:cs="Arial"/>
        </w:rPr>
      </w:pPr>
      <w:r w:rsidRPr="00776ACF">
        <w:rPr>
          <w:rFonts w:cs="Arial"/>
        </w:rPr>
        <w:t>Die Erläuterungstexte zur Schuldenstatistik 2022 wurden vom Bundesamt komplett überarbeitet. Wir bitten um Beachtung.</w:t>
      </w:r>
    </w:p>
    <w:p w:rsidR="00D46FB7" w:rsidRPr="00224F72" w:rsidRDefault="00D46FB7" w:rsidP="00D46FB7">
      <w:pPr>
        <w:jc w:val="both"/>
        <w:rPr>
          <w:rFonts w:cs="Arial"/>
          <w:sz w:val="16"/>
          <w:szCs w:val="16"/>
        </w:rPr>
      </w:pPr>
    </w:p>
    <w:p w:rsidR="00D46FB7" w:rsidRPr="00224F72" w:rsidRDefault="00D46FB7" w:rsidP="00D46FB7">
      <w:pPr>
        <w:jc w:val="both"/>
        <w:rPr>
          <w:rFonts w:cs="Arial"/>
        </w:rPr>
      </w:pPr>
      <w:r w:rsidRPr="00224F72">
        <w:rPr>
          <w:rFonts w:cs="Arial"/>
        </w:rPr>
        <w:t>Wie im Vorjahr wurden die Endstände der letzten Jahreserhebung mit Stand 31.12.202</w:t>
      </w:r>
      <w:r>
        <w:rPr>
          <w:rFonts w:cs="Arial"/>
        </w:rPr>
        <w:t>1</w:t>
      </w:r>
      <w:r w:rsidRPr="00224F72">
        <w:rPr>
          <w:rFonts w:cs="Arial"/>
        </w:rPr>
        <w:t xml:space="preserve"> als Anfangsbestand der aktuellen Erhebung als sog. Vorbelegung eingespielt. Ich bitte trotzdem um Prüfung und ggf. Korrektur.</w:t>
      </w:r>
      <w:r>
        <w:rPr>
          <w:rFonts w:cs="Arial"/>
        </w:rPr>
        <w:t xml:space="preserve"> Sollte für Ihre Einheit ein </w:t>
      </w:r>
      <w:proofErr w:type="spellStart"/>
      <w:r>
        <w:rPr>
          <w:rFonts w:cs="Arial"/>
        </w:rPr>
        <w:t>Sektorwechsel</w:t>
      </w:r>
      <w:proofErr w:type="spellEnd"/>
      <w:r>
        <w:rPr>
          <w:rFonts w:cs="Arial"/>
        </w:rPr>
        <w:t xml:space="preserve"> stattgefunden haben, ist </w:t>
      </w:r>
      <w:r>
        <w:t>eine Vorbelegung der Vorjahresdaten aufgrund des für Sie neuen IDEV-Formulars nicht möglich.</w:t>
      </w:r>
      <w:r>
        <w:rPr>
          <w:rFonts w:cs="Arial"/>
        </w:rPr>
        <w:t xml:space="preserve"> </w:t>
      </w:r>
    </w:p>
    <w:p w:rsidR="00D46FB7" w:rsidRPr="00224F72" w:rsidRDefault="00D46FB7" w:rsidP="00D46FB7">
      <w:pPr>
        <w:jc w:val="both"/>
        <w:rPr>
          <w:rFonts w:cs="Arial"/>
        </w:rPr>
      </w:pPr>
    </w:p>
    <w:p w:rsidR="00D46FB7" w:rsidRPr="00224F72" w:rsidRDefault="00D46FB7" w:rsidP="00D46FB7">
      <w:pPr>
        <w:jc w:val="both"/>
        <w:rPr>
          <w:rFonts w:cs="Arial"/>
          <w:bCs/>
        </w:rPr>
      </w:pPr>
      <w:r w:rsidRPr="00224F72">
        <w:rPr>
          <w:rFonts w:cs="Arial"/>
          <w:bCs/>
        </w:rPr>
        <w:t xml:space="preserve">Zur Vermeidung von Rückfragen bitten wir Sie, im Feld "Bemerkungen" (zusätzlich befinden sich seit der Erhebung 2021 zwei weitere Felder unter dem Bereich Cash-Pooling) auf besondere Ereignisse und Umstände hinzuweisen, aus denen auffällige Veränderungen </w:t>
      </w:r>
      <w:proofErr w:type="spellStart"/>
      <w:r w:rsidRPr="00224F72">
        <w:rPr>
          <w:rFonts w:cs="Arial"/>
          <w:bCs/>
        </w:rPr>
        <w:t>ggü</w:t>
      </w:r>
      <w:proofErr w:type="spellEnd"/>
      <w:r w:rsidRPr="00224F72">
        <w:rPr>
          <w:rFonts w:cs="Arial"/>
          <w:bCs/>
        </w:rPr>
        <w:t xml:space="preserve">. dem Vorjahr oder außergewöhnliche Verhältnisse </w:t>
      </w:r>
      <w:proofErr w:type="gramStart"/>
      <w:r w:rsidRPr="00224F72">
        <w:rPr>
          <w:rFonts w:cs="Arial"/>
          <w:bCs/>
        </w:rPr>
        <w:t>erklärt</w:t>
      </w:r>
      <w:proofErr w:type="gramEnd"/>
      <w:r w:rsidRPr="00224F72">
        <w:rPr>
          <w:rFonts w:cs="Arial"/>
          <w:bCs/>
        </w:rPr>
        <w:t xml:space="preserve"> werden können, insbesondere im Fall von Ein- und Ausgliederungen.</w:t>
      </w:r>
    </w:p>
    <w:p w:rsidR="00D46FB7" w:rsidRPr="00224F72" w:rsidRDefault="00D46FB7" w:rsidP="00D46FB7">
      <w:pPr>
        <w:jc w:val="both"/>
        <w:rPr>
          <w:rFonts w:cs="Arial"/>
          <w:bCs/>
        </w:rPr>
      </w:pPr>
    </w:p>
    <w:p w:rsidR="00D46FB7" w:rsidRPr="00224F72" w:rsidRDefault="00D46FB7" w:rsidP="00D46FB7">
      <w:pPr>
        <w:jc w:val="both"/>
        <w:rPr>
          <w:rFonts w:cs="Arial"/>
          <w:bCs/>
        </w:rPr>
      </w:pPr>
      <w:r w:rsidRPr="00224F72">
        <w:rPr>
          <w:rFonts w:cs="Arial"/>
          <w:bCs/>
        </w:rPr>
        <w:t>Fehlmeldungen bei operativ tätigen Unternehmen werden von uns hinterfragt, da i. d. R. Verbindlichkeiten aus Lieferungen und Leistungen zum Jahresende vorlagen.</w:t>
      </w:r>
    </w:p>
    <w:p w:rsidR="00D46FB7" w:rsidRPr="00224F72" w:rsidRDefault="00D46FB7" w:rsidP="00D46FB7">
      <w:pPr>
        <w:jc w:val="both"/>
        <w:rPr>
          <w:rFonts w:cs="Arial"/>
          <w:bCs/>
        </w:rPr>
      </w:pPr>
    </w:p>
    <w:p w:rsidR="00D46FB7" w:rsidRPr="00224F72" w:rsidRDefault="00D46FB7" w:rsidP="00D46FB7">
      <w:pPr>
        <w:jc w:val="both"/>
        <w:rPr>
          <w:rFonts w:cs="Arial"/>
          <w:bCs/>
        </w:rPr>
      </w:pPr>
      <w:r w:rsidRPr="00224F72">
        <w:rPr>
          <w:rFonts w:cs="Arial"/>
          <w:bCs/>
        </w:rPr>
        <w:t>Die Summe der Schulden beim nicht-öffentlichen Bereich muss den Fälligkeiten der Kassenkredite (Code P8399), der Wertpapierschulden (Code P8599) und der Kredite (Code 8799) entsprechen.</w:t>
      </w:r>
    </w:p>
    <w:p w:rsidR="00D46FB7" w:rsidRPr="00224F72" w:rsidRDefault="00D46FB7" w:rsidP="00D46FB7">
      <w:pPr>
        <w:jc w:val="both"/>
        <w:rPr>
          <w:rFonts w:cs="Arial"/>
          <w:bCs/>
        </w:rPr>
      </w:pPr>
    </w:p>
    <w:p w:rsidR="00D46FB7" w:rsidRDefault="00D46FB7" w:rsidP="00D46FB7">
      <w:pPr>
        <w:jc w:val="both"/>
        <w:rPr>
          <w:rFonts w:cs="Arial"/>
          <w:bCs/>
        </w:rPr>
      </w:pPr>
      <w:r w:rsidRPr="00224F72">
        <w:rPr>
          <w:rFonts w:cs="Arial"/>
          <w:bCs/>
        </w:rPr>
        <w:t>Generell dürfen die Darunter-Positionen nur kleiner oder gleich der Insgesamt-Positionen sein.</w:t>
      </w:r>
    </w:p>
    <w:p w:rsidR="00D46FB7" w:rsidRDefault="00D46FB7" w:rsidP="00D46FB7">
      <w:pPr>
        <w:jc w:val="both"/>
        <w:rPr>
          <w:rFonts w:cs="Arial"/>
          <w:bCs/>
        </w:rPr>
      </w:pPr>
    </w:p>
    <w:p w:rsidR="00D46FB7" w:rsidRDefault="00D46FB7" w:rsidP="00D46FB7">
      <w:pPr>
        <w:pStyle w:val="Default"/>
        <w:rPr>
          <w:rFonts w:ascii="Arial" w:hAnsi="Arial" w:cs="Arial"/>
          <w:bCs/>
          <w:color w:val="auto"/>
          <w:sz w:val="22"/>
        </w:rPr>
      </w:pPr>
      <w:r w:rsidRPr="00B21985">
        <w:rPr>
          <w:rFonts w:ascii="Arial" w:hAnsi="Arial" w:cs="Arial"/>
          <w:bCs/>
          <w:color w:val="auto"/>
          <w:sz w:val="22"/>
        </w:rPr>
        <w:t xml:space="preserve">Die Kassenkredite, Wertpapierschulden und Kredite werden in der Schuldenstatistik nach Ursprungslaufzeiten erhoben. Die Fälligkeiten stellen die Restlaufzeiten der drei Schuldarten dar. </w:t>
      </w:r>
      <w:r>
        <w:rPr>
          <w:rFonts w:ascii="Arial" w:hAnsi="Arial" w:cs="Arial"/>
          <w:bCs/>
          <w:color w:val="auto"/>
          <w:sz w:val="22"/>
        </w:rPr>
        <w:t xml:space="preserve">Bitte beachten Sie dazu: </w:t>
      </w:r>
    </w:p>
    <w:p w:rsidR="00D46FB7" w:rsidRPr="00B21985" w:rsidRDefault="00D46FB7" w:rsidP="00D46FB7">
      <w:pPr>
        <w:pStyle w:val="Default"/>
        <w:rPr>
          <w:rFonts w:ascii="Arial" w:hAnsi="Arial" w:cs="Arial"/>
          <w:bCs/>
          <w:color w:val="auto"/>
          <w:sz w:val="22"/>
        </w:rPr>
      </w:pPr>
      <w:r w:rsidRPr="00B21985">
        <w:rPr>
          <w:rFonts w:ascii="Arial" w:hAnsi="Arial" w:cs="Arial"/>
          <w:bCs/>
          <w:color w:val="auto"/>
          <w:sz w:val="22"/>
        </w:rPr>
        <w:t xml:space="preserve">Schulden mit Fälligkeit im Folgejahr: Schulden </w:t>
      </w:r>
      <w:r>
        <w:rPr>
          <w:rFonts w:ascii="Arial" w:hAnsi="Arial" w:cs="Arial"/>
          <w:bCs/>
          <w:color w:val="auto"/>
          <w:sz w:val="22"/>
        </w:rPr>
        <w:t xml:space="preserve">beim nicht-öffentlichen Bereich </w:t>
      </w:r>
      <w:r w:rsidRPr="00B21985">
        <w:rPr>
          <w:rFonts w:ascii="Arial" w:hAnsi="Arial" w:cs="Arial"/>
          <w:bCs/>
          <w:color w:val="auto"/>
          <w:sz w:val="22"/>
        </w:rPr>
        <w:t xml:space="preserve">mit einer Ursprungslaufzeit bis einschließlich 1 Jahr dürfen die für das Folgejahr gemeldeten </w:t>
      </w:r>
      <w:r>
        <w:rPr>
          <w:rFonts w:ascii="Arial" w:hAnsi="Arial" w:cs="Arial"/>
          <w:bCs/>
          <w:color w:val="auto"/>
          <w:sz w:val="22"/>
        </w:rPr>
        <w:t xml:space="preserve">Fälligkeiten der </w:t>
      </w:r>
      <w:r w:rsidRPr="00B21985">
        <w:rPr>
          <w:rFonts w:ascii="Arial" w:hAnsi="Arial" w:cs="Arial"/>
          <w:bCs/>
          <w:color w:val="auto"/>
          <w:sz w:val="22"/>
        </w:rPr>
        <w:t xml:space="preserve">Schulden </w:t>
      </w:r>
      <w:r>
        <w:rPr>
          <w:rFonts w:ascii="Arial" w:hAnsi="Arial" w:cs="Arial"/>
          <w:bCs/>
          <w:color w:val="auto"/>
          <w:sz w:val="22"/>
        </w:rPr>
        <w:t xml:space="preserve">beim nicht-öffentlichen Bereich </w:t>
      </w:r>
      <w:r w:rsidRPr="00B21985">
        <w:rPr>
          <w:rFonts w:ascii="Arial" w:hAnsi="Arial" w:cs="Arial"/>
          <w:bCs/>
          <w:color w:val="auto"/>
          <w:sz w:val="22"/>
        </w:rPr>
        <w:t xml:space="preserve">nicht überschreiten. </w:t>
      </w:r>
    </w:p>
    <w:p w:rsidR="00D46FB7" w:rsidRDefault="00D46FB7" w:rsidP="00D46FB7">
      <w:pPr>
        <w:jc w:val="both"/>
        <w:rPr>
          <w:rFonts w:cs="Arial"/>
          <w:bCs/>
        </w:rPr>
      </w:pPr>
      <w:r w:rsidRPr="00B21985">
        <w:rPr>
          <w:rFonts w:cs="Arial"/>
          <w:bCs/>
        </w:rPr>
        <w:lastRenderedPageBreak/>
        <w:t xml:space="preserve">Schulden mit Fälligkeit in mehr als 5 Jahren: Schulden </w:t>
      </w:r>
      <w:r>
        <w:rPr>
          <w:rFonts w:cs="Arial"/>
          <w:bCs/>
        </w:rPr>
        <w:t xml:space="preserve">beim nicht-öffentlichen Bereich </w:t>
      </w:r>
      <w:r w:rsidRPr="00B21985">
        <w:rPr>
          <w:rFonts w:cs="Arial"/>
          <w:bCs/>
        </w:rPr>
        <w:t xml:space="preserve">mit einer Ursprungslaufzeit über 5 Jahre dürfen die </w:t>
      </w:r>
      <w:r>
        <w:rPr>
          <w:rFonts w:cs="Arial"/>
          <w:bCs/>
        </w:rPr>
        <w:t xml:space="preserve">Fälligkeiten der </w:t>
      </w:r>
      <w:r w:rsidRPr="00B21985">
        <w:rPr>
          <w:rFonts w:cs="Arial"/>
          <w:bCs/>
        </w:rPr>
        <w:t>Schulden in mehr als 5 Jahren nicht überschreiten.</w:t>
      </w:r>
    </w:p>
    <w:p w:rsidR="00EA11FE" w:rsidRDefault="00EA11FE" w:rsidP="00D46FB7">
      <w:pPr>
        <w:jc w:val="both"/>
        <w:rPr>
          <w:rFonts w:cs="Arial"/>
          <w:bCs/>
        </w:rPr>
      </w:pPr>
    </w:p>
    <w:p w:rsidR="00EA11FE" w:rsidRPr="00776ACF" w:rsidRDefault="00EA11FE" w:rsidP="00EA11FE">
      <w:pPr>
        <w:pStyle w:val="NurText"/>
        <w:rPr>
          <w:rFonts w:ascii="Arial" w:eastAsia="Times New Roman" w:hAnsi="Arial" w:cs="Arial"/>
          <w:bCs/>
          <w:szCs w:val="24"/>
          <w:lang w:eastAsia="de-DE"/>
        </w:rPr>
      </w:pPr>
      <w:r w:rsidRPr="00776ACF">
        <w:rPr>
          <w:rFonts w:ascii="Arial" w:eastAsia="Times New Roman" w:hAnsi="Arial" w:cs="Arial"/>
          <w:bCs/>
          <w:szCs w:val="24"/>
          <w:lang w:eastAsia="de-DE"/>
        </w:rPr>
        <w:t>Aufgrund der Änderungen des FPStatG zum 1. Januar 2022 wird im Fragebogen das Merkmal „Verbindlichkeiten aus Lieferungen und Leistungen sowie erhaltene Anzahlungen“ nun auch nach Laufzeiten getrennt erhoben.</w:t>
      </w:r>
    </w:p>
    <w:p w:rsidR="00EA11FE" w:rsidRPr="00776ACF" w:rsidRDefault="00EA11FE" w:rsidP="00EA11FE">
      <w:pPr>
        <w:pStyle w:val="NurText"/>
        <w:rPr>
          <w:rFonts w:ascii="Arial" w:eastAsia="Times New Roman" w:hAnsi="Arial" w:cs="Arial"/>
          <w:bCs/>
          <w:szCs w:val="24"/>
          <w:lang w:eastAsia="de-DE"/>
        </w:rPr>
      </w:pPr>
    </w:p>
    <w:p w:rsidR="00EA11FE" w:rsidRPr="00EA11FE" w:rsidRDefault="00EA11FE" w:rsidP="00EA11FE">
      <w:pPr>
        <w:pStyle w:val="NurText"/>
        <w:rPr>
          <w:rFonts w:ascii="Arial" w:eastAsia="Times New Roman" w:hAnsi="Arial" w:cs="Arial"/>
          <w:bCs/>
          <w:szCs w:val="24"/>
          <w:lang w:eastAsia="de-DE"/>
        </w:rPr>
      </w:pPr>
      <w:r w:rsidRPr="00776ACF">
        <w:rPr>
          <w:rFonts w:ascii="Arial" w:eastAsia="Times New Roman" w:hAnsi="Arial" w:cs="Arial"/>
          <w:bCs/>
          <w:szCs w:val="24"/>
          <w:lang w:eastAsia="de-DE"/>
        </w:rPr>
        <w:t>Aufgrund der Änderungen des FPStatG zum 1. Januar 2022 erfolgt im Fragebogen beim Merkmal „Bürgschaften“ eine Ausweitung auf „Bürgschaften, Garantien und sonstige Gewährleistungen“.</w:t>
      </w:r>
    </w:p>
    <w:p w:rsidR="00D46FB7" w:rsidRPr="00224F72" w:rsidRDefault="00D46FB7" w:rsidP="00D46FB7">
      <w:pPr>
        <w:jc w:val="both"/>
        <w:rPr>
          <w:rFonts w:cs="Arial"/>
        </w:rPr>
      </w:pPr>
    </w:p>
    <w:p w:rsidR="00D46FB7" w:rsidRPr="00224F72" w:rsidRDefault="00D46FB7" w:rsidP="00D46FB7">
      <w:pPr>
        <w:rPr>
          <w:rFonts w:cs="Arial"/>
          <w:bCs/>
        </w:rPr>
      </w:pPr>
      <w:r w:rsidRPr="00224F72">
        <w:rPr>
          <w:rFonts w:cs="Arial"/>
          <w:bCs/>
        </w:rPr>
        <w:t>Bitte beachten Sie die Erläuterungstexte im IDEV-Onlineformular (durch Anklicken der roten "Info-Felder" öffnet sich ein Fenster mit Erläuterungen).</w:t>
      </w:r>
    </w:p>
    <w:p w:rsidR="00D46FB7" w:rsidRPr="00224F72" w:rsidRDefault="00D46FB7" w:rsidP="00D46FB7">
      <w:pPr>
        <w:rPr>
          <w:rFonts w:cs="Arial"/>
          <w:bCs/>
        </w:rPr>
      </w:pPr>
    </w:p>
    <w:p w:rsidR="00D46FB7" w:rsidRPr="00224F72" w:rsidRDefault="00D46FB7" w:rsidP="00D46FB7">
      <w:pPr>
        <w:jc w:val="both"/>
        <w:rPr>
          <w:rFonts w:cs="Arial"/>
          <w:bCs/>
        </w:rPr>
      </w:pPr>
      <w:r w:rsidRPr="00224F72">
        <w:rPr>
          <w:rFonts w:cs="Arial"/>
          <w:bCs/>
        </w:rPr>
        <w:t>Bitte archivieren Sie nach Übermittlung der Daten unbedingt die automatisch erzeugte Quittung. Später ist ein Abrufen der gemeldeten Werte nicht mehr möglich.</w:t>
      </w:r>
    </w:p>
    <w:bookmarkEnd w:id="8"/>
    <w:bookmarkEnd w:id="9"/>
    <w:p w:rsidR="00D46FB7" w:rsidRPr="00224F72" w:rsidRDefault="00D46FB7" w:rsidP="00D46FB7">
      <w:pPr>
        <w:jc w:val="both"/>
        <w:rPr>
          <w:rFonts w:cs="Arial"/>
        </w:rPr>
      </w:pPr>
    </w:p>
    <w:p w:rsidR="00D46FB7" w:rsidRPr="00032BAE" w:rsidRDefault="00D46FB7" w:rsidP="00D46FB7">
      <w:pPr>
        <w:rPr>
          <w:rFonts w:cs="Arial"/>
          <w:b/>
        </w:rPr>
      </w:pPr>
      <w:r w:rsidRPr="00032BAE">
        <w:rPr>
          <w:rFonts w:cs="Arial"/>
          <w:b/>
        </w:rPr>
        <w:t>Block Cash-Pooling</w:t>
      </w:r>
    </w:p>
    <w:p w:rsidR="00D46FB7" w:rsidRPr="001C3E45" w:rsidRDefault="00D46FB7" w:rsidP="00D46FB7">
      <w:pPr>
        <w:jc w:val="both"/>
        <w:rPr>
          <w:rFonts w:cs="Arial"/>
          <w:sz w:val="16"/>
          <w:szCs w:val="16"/>
        </w:rPr>
      </w:pPr>
    </w:p>
    <w:p w:rsidR="00D46FB7" w:rsidRPr="00224F72" w:rsidRDefault="00D46FB7" w:rsidP="00D46FB7">
      <w:pPr>
        <w:jc w:val="both"/>
        <w:rPr>
          <w:rFonts w:cs="Arial"/>
        </w:rPr>
      </w:pPr>
      <w:bookmarkStart w:id="10" w:name="_Hlk87508814"/>
      <w:r w:rsidRPr="00224F72">
        <w:rPr>
          <w:rFonts w:cs="Arial"/>
        </w:rPr>
        <w:t xml:space="preserve">Um Liquiditätsverbünde (Cash-Pooling) besser erfassen zu können, wurde seit der Erhebung 2019 ein neuer Merkmalsblock eingeführt. Für die statistische Erfassung des Cash-Pools werden zwei Rollen unterschieden: der </w:t>
      </w:r>
      <w:r w:rsidRPr="00224F72">
        <w:rPr>
          <w:rFonts w:cs="Arial"/>
          <w:i/>
        </w:rPr>
        <w:t>Cash-Pool-Führer</w:t>
      </w:r>
      <w:r w:rsidRPr="00224F72">
        <w:rPr>
          <w:rFonts w:cs="Arial"/>
        </w:rPr>
        <w:t xml:space="preserve"> als verwaltende Einheit (z.B. </w:t>
      </w:r>
      <w:r>
        <w:rPr>
          <w:rFonts w:cs="Arial"/>
        </w:rPr>
        <w:t>Gemeinde</w:t>
      </w:r>
      <w:r w:rsidRPr="00224F72">
        <w:rPr>
          <w:rFonts w:cs="Arial"/>
        </w:rPr>
        <w:t xml:space="preserve">) und die </w:t>
      </w:r>
      <w:r w:rsidRPr="00224F72">
        <w:rPr>
          <w:rFonts w:cs="Arial"/>
          <w:i/>
        </w:rPr>
        <w:t>Cash-Pool-Einheiten</w:t>
      </w:r>
      <w:r w:rsidRPr="00224F72">
        <w:rPr>
          <w:rFonts w:cs="Arial"/>
        </w:rPr>
        <w:t xml:space="preserve"> als Teilnehmende im Liquiditätsverbund (z.B. </w:t>
      </w:r>
      <w:r>
        <w:rPr>
          <w:rFonts w:cs="Arial"/>
        </w:rPr>
        <w:t>Eigenbetriebe</w:t>
      </w:r>
      <w:r w:rsidRPr="00224F72">
        <w:rPr>
          <w:rFonts w:cs="Arial"/>
        </w:rPr>
        <w:t xml:space="preserve">). Die Verbuchung muss nach dem Bruttoprinzip erfolgen, eine Bereinigung findet über die neuen Merkmale statt. Die Verbindlichkeiten aus dem Liquiditätsverbund nach außen sind vom </w:t>
      </w:r>
      <w:r w:rsidRPr="00224F72">
        <w:rPr>
          <w:rFonts w:cs="Arial"/>
          <w:i/>
        </w:rPr>
        <w:t>Cash-Pool-Führer</w:t>
      </w:r>
      <w:r w:rsidRPr="00224F72">
        <w:rPr>
          <w:rFonts w:cs="Arial"/>
        </w:rPr>
        <w:t xml:space="preserve"> in der Schuldenstatistik unter den Merkmalen </w:t>
      </w:r>
      <w:r w:rsidRPr="00224F72">
        <w:rPr>
          <w:rFonts w:cs="Arial"/>
          <w:i/>
        </w:rPr>
        <w:t xml:space="preserve">P1600 </w:t>
      </w:r>
      <w:r w:rsidRPr="00224F72">
        <w:rPr>
          <w:rFonts w:cs="Arial"/>
        </w:rPr>
        <w:t xml:space="preserve">und </w:t>
      </w:r>
      <w:r w:rsidRPr="00224F72">
        <w:rPr>
          <w:rFonts w:cs="Arial"/>
          <w:i/>
        </w:rPr>
        <w:t>P1609</w:t>
      </w:r>
      <w:r w:rsidRPr="00224F72">
        <w:rPr>
          <w:rFonts w:cs="Arial"/>
        </w:rPr>
        <w:t xml:space="preserve"> zu erfassen, die Guthaben nach außen in der Finanzvermögensstatistik. </w:t>
      </w:r>
    </w:p>
    <w:p w:rsidR="00D46FB7" w:rsidRPr="00224F72" w:rsidRDefault="00D46FB7" w:rsidP="00D46FB7">
      <w:pPr>
        <w:jc w:val="both"/>
        <w:rPr>
          <w:rFonts w:cs="Arial"/>
        </w:rPr>
      </w:pPr>
    </w:p>
    <w:p w:rsidR="00D46FB7" w:rsidRPr="00224F72" w:rsidRDefault="00D46FB7" w:rsidP="00D46FB7">
      <w:pPr>
        <w:jc w:val="both"/>
        <w:rPr>
          <w:rFonts w:cs="Arial"/>
        </w:rPr>
      </w:pPr>
      <w:r w:rsidRPr="00224F72">
        <w:rPr>
          <w:rFonts w:cs="Arial"/>
        </w:rPr>
        <w:t xml:space="preserve">Fungiert Ihre Einrichtung als </w:t>
      </w:r>
      <w:r w:rsidRPr="00224F72">
        <w:rPr>
          <w:rFonts w:cs="Arial"/>
          <w:i/>
        </w:rPr>
        <w:t>Cash-Pool-Führer</w:t>
      </w:r>
      <w:r w:rsidRPr="00224F72">
        <w:rPr>
          <w:rFonts w:cs="Arial"/>
        </w:rPr>
        <w:t xml:space="preserve">, so sind Verbindlichkeiten gegenüber den teilnehmenden Einheiten im Liquiditätsverbund in den Merkmalen </w:t>
      </w:r>
      <w:r w:rsidRPr="00224F72">
        <w:rPr>
          <w:rFonts w:cs="Arial"/>
          <w:i/>
        </w:rPr>
        <w:t>P1610</w:t>
      </w:r>
      <w:r w:rsidRPr="00224F72">
        <w:rPr>
          <w:rFonts w:cs="Arial"/>
        </w:rPr>
        <w:t xml:space="preserve"> bis </w:t>
      </w:r>
      <w:r w:rsidRPr="00224F72">
        <w:rPr>
          <w:rFonts w:cs="Arial"/>
          <w:i/>
        </w:rPr>
        <w:t>P1689</w:t>
      </w:r>
      <w:r w:rsidRPr="00224F72">
        <w:rPr>
          <w:rFonts w:cs="Arial"/>
        </w:rPr>
        <w:t xml:space="preserve"> auszuweisen</w:t>
      </w:r>
      <w:r w:rsidR="00374B77">
        <w:rPr>
          <w:rFonts w:cs="Arial"/>
        </w:rPr>
        <w:t>.</w:t>
      </w:r>
    </w:p>
    <w:p w:rsidR="00D46FB7" w:rsidRPr="00224F72" w:rsidRDefault="00D46FB7" w:rsidP="00D46FB7">
      <w:pPr>
        <w:jc w:val="both"/>
        <w:rPr>
          <w:rFonts w:cs="Arial"/>
        </w:rPr>
      </w:pPr>
    </w:p>
    <w:p w:rsidR="00D46FB7" w:rsidRPr="00224F72" w:rsidRDefault="00D46FB7" w:rsidP="00D46FB7">
      <w:pPr>
        <w:jc w:val="both"/>
        <w:rPr>
          <w:rFonts w:cs="Arial"/>
        </w:rPr>
      </w:pPr>
      <w:r w:rsidRPr="00224F72">
        <w:rPr>
          <w:rFonts w:cs="Arial"/>
        </w:rPr>
        <w:t xml:space="preserve">Ist Ihre Einrichtung hingegen eine teilnehmende </w:t>
      </w:r>
      <w:r w:rsidRPr="00224F72">
        <w:rPr>
          <w:rFonts w:cs="Arial"/>
          <w:i/>
        </w:rPr>
        <w:t>Cash-Pool-Einheit</w:t>
      </w:r>
      <w:r w:rsidRPr="00224F72">
        <w:rPr>
          <w:rFonts w:cs="Arial"/>
        </w:rPr>
        <w:t xml:space="preserve">, so sind sich daraus ergebene Verbindlichkeiten unter den Positionen </w:t>
      </w:r>
      <w:r w:rsidRPr="00224F72">
        <w:rPr>
          <w:rFonts w:cs="Arial"/>
          <w:i/>
        </w:rPr>
        <w:t>P1710</w:t>
      </w:r>
      <w:r w:rsidRPr="00224F72">
        <w:rPr>
          <w:rFonts w:cs="Arial"/>
        </w:rPr>
        <w:t xml:space="preserve"> bis </w:t>
      </w:r>
      <w:r w:rsidRPr="00224F72">
        <w:rPr>
          <w:rFonts w:cs="Arial"/>
          <w:i/>
        </w:rPr>
        <w:t>P1789</w:t>
      </w:r>
      <w:r w:rsidRPr="00224F72">
        <w:rPr>
          <w:rFonts w:cs="Arial"/>
        </w:rPr>
        <w:t xml:space="preserve"> zu erfassen.</w:t>
      </w:r>
    </w:p>
    <w:p w:rsidR="00D46FB7" w:rsidRDefault="00D46FB7" w:rsidP="00D46FB7">
      <w:pPr>
        <w:jc w:val="both"/>
        <w:rPr>
          <w:rFonts w:cs="Arial"/>
        </w:rPr>
      </w:pPr>
      <w:r w:rsidRPr="00224F72">
        <w:rPr>
          <w:rFonts w:cs="Arial"/>
        </w:rPr>
        <w:t xml:space="preserve">Hat der </w:t>
      </w:r>
      <w:r w:rsidRPr="00224F72">
        <w:rPr>
          <w:rFonts w:cs="Arial"/>
          <w:i/>
        </w:rPr>
        <w:t>Cash-Pool-Führer</w:t>
      </w:r>
      <w:r w:rsidRPr="00224F72">
        <w:rPr>
          <w:rFonts w:cs="Arial"/>
        </w:rPr>
        <w:t xml:space="preserve"> selber als teilnehmende Einheit Mittel für den eigenen Liquiditätsbedarf entnommen, werden diese Verbindlichkeiten ebenfalls unter den Positionen </w:t>
      </w:r>
      <w:r w:rsidRPr="00224F72">
        <w:rPr>
          <w:rFonts w:cs="Arial"/>
          <w:i/>
        </w:rPr>
        <w:t>P1710</w:t>
      </w:r>
      <w:r w:rsidRPr="00224F72">
        <w:rPr>
          <w:rFonts w:cs="Arial"/>
        </w:rPr>
        <w:t xml:space="preserve"> bis </w:t>
      </w:r>
      <w:r w:rsidRPr="00224F72">
        <w:rPr>
          <w:rFonts w:cs="Arial"/>
          <w:i/>
        </w:rPr>
        <w:t xml:space="preserve">P1789 </w:t>
      </w:r>
      <w:r w:rsidRPr="00224F72">
        <w:rPr>
          <w:rFonts w:cs="Arial"/>
        </w:rPr>
        <w:t>erfasst.</w:t>
      </w:r>
    </w:p>
    <w:p w:rsidR="00D46FB7" w:rsidRDefault="00D46FB7" w:rsidP="00D46FB7">
      <w:pPr>
        <w:jc w:val="both"/>
        <w:rPr>
          <w:rFonts w:cs="Arial"/>
        </w:rPr>
      </w:pPr>
    </w:p>
    <w:p w:rsidR="00D46FB7" w:rsidRPr="00D46FB7" w:rsidRDefault="00D46FB7" w:rsidP="00D46FB7">
      <w:pPr>
        <w:rPr>
          <w:rFonts w:cs="Arial"/>
        </w:rPr>
      </w:pPr>
      <w:r w:rsidRPr="00D46FB7">
        <w:rPr>
          <w:rFonts w:cs="Arial"/>
        </w:rPr>
        <w:t>Sollte sich das Meldeverhalten bei Cash-Pooling gegenüber dem Vorjahr geändert haben, muss zwingend das entsprechende Bemerkungsfeld unterhalb von Cash-Pooling ausgefüllt werden.</w:t>
      </w:r>
    </w:p>
    <w:p w:rsidR="00D46FB7" w:rsidRPr="00D46FB7" w:rsidRDefault="00D46FB7" w:rsidP="00D46FB7">
      <w:pPr>
        <w:rPr>
          <w:rFonts w:cs="Arial"/>
        </w:rPr>
      </w:pPr>
    </w:p>
    <w:p w:rsidR="00D46FB7" w:rsidRPr="00D46FB7" w:rsidRDefault="00D46FB7" w:rsidP="00D46FB7">
      <w:pPr>
        <w:rPr>
          <w:rFonts w:cs="Arial"/>
          <w:b/>
        </w:rPr>
      </w:pPr>
      <w:r w:rsidRPr="00D46FB7">
        <w:rPr>
          <w:rFonts w:cs="Arial"/>
          <w:b/>
        </w:rPr>
        <w:t>Bitte beachten Sie: Die gemeinsame Verwaltung von Sichteinlagen ohne die Möglichkeit auf die Liquidität anderer zurückzugreifen, zählt nicht zu Cash-Pooling.</w:t>
      </w:r>
    </w:p>
    <w:p w:rsidR="00D46FB7" w:rsidRPr="00224F72" w:rsidRDefault="00D46FB7" w:rsidP="00D46FB7">
      <w:pPr>
        <w:jc w:val="both"/>
        <w:rPr>
          <w:rFonts w:cs="Arial"/>
        </w:rPr>
      </w:pPr>
    </w:p>
    <w:p w:rsidR="00D46FB7" w:rsidRPr="00224F72" w:rsidRDefault="00D46FB7" w:rsidP="00D46FB7">
      <w:pPr>
        <w:jc w:val="both"/>
        <w:rPr>
          <w:rFonts w:cs="Arial"/>
          <w:sz w:val="16"/>
          <w:szCs w:val="16"/>
        </w:rPr>
      </w:pPr>
      <w:r w:rsidRPr="00224F72">
        <w:rPr>
          <w:rFonts w:cs="Arial"/>
        </w:rPr>
        <w:t xml:space="preserve">Ausführliche Informationen zum Thema Cash-Pooling finden Sie in einem Merkblatt, welches aus dem Online-Formular aufgerufen werden kann und auf den Internetseiten des LSN. </w:t>
      </w:r>
    </w:p>
    <w:bookmarkEnd w:id="10"/>
    <w:p w:rsidR="00D46FB7" w:rsidRDefault="00D46FB7" w:rsidP="00D46FB7">
      <w:pPr>
        <w:rPr>
          <w:rFonts w:cs="Arial"/>
        </w:rPr>
      </w:pPr>
    </w:p>
    <w:p w:rsidR="00D46FB7" w:rsidRDefault="00D46FB7">
      <w:pPr>
        <w:rPr>
          <w:rFonts w:cs="Arial"/>
        </w:rPr>
      </w:pPr>
      <w:r>
        <w:rPr>
          <w:rFonts w:cs="Arial"/>
        </w:rPr>
        <w:br w:type="page"/>
      </w:r>
    </w:p>
    <w:p w:rsidR="00D46FB7" w:rsidRPr="00224F72" w:rsidRDefault="00D46FB7" w:rsidP="00D46FB7">
      <w:pPr>
        <w:rPr>
          <w:rFonts w:cs="Arial"/>
          <w:b/>
        </w:rPr>
      </w:pPr>
      <w:bookmarkStart w:id="11" w:name="_Hlk119497447"/>
      <w:r w:rsidRPr="00224F72">
        <w:rPr>
          <w:rFonts w:cs="Arial"/>
          <w:b/>
        </w:rPr>
        <w:lastRenderedPageBreak/>
        <w:t>Statistik des öffentlichen Finanzvermögens für den Stand 31.12.202</w:t>
      </w:r>
      <w:r>
        <w:rPr>
          <w:rFonts w:cs="Arial"/>
          <w:b/>
        </w:rPr>
        <w:t>2</w:t>
      </w:r>
    </w:p>
    <w:p w:rsidR="00D46FB7" w:rsidRPr="00224F72" w:rsidRDefault="00D46FB7" w:rsidP="00D46FB7">
      <w:pPr>
        <w:rPr>
          <w:rFonts w:cs="Arial"/>
        </w:rPr>
      </w:pPr>
    </w:p>
    <w:p w:rsidR="00D46FB7" w:rsidRPr="00224F72" w:rsidRDefault="00D46FB7" w:rsidP="00D46FB7">
      <w:pPr>
        <w:rPr>
          <w:rFonts w:cs="Arial"/>
        </w:rPr>
      </w:pPr>
      <w:r w:rsidRPr="00224F72">
        <w:rPr>
          <w:rFonts w:cs="Arial"/>
        </w:rPr>
        <w:t>Ansprechpartner: Frau Gerken-Westphal</w:t>
      </w:r>
    </w:p>
    <w:p w:rsidR="00D46FB7" w:rsidRPr="00224F72" w:rsidRDefault="00D46FB7" w:rsidP="00D46FB7">
      <w:pPr>
        <w:rPr>
          <w:rFonts w:cs="Arial"/>
        </w:rPr>
      </w:pPr>
      <w:r w:rsidRPr="00224F72">
        <w:rPr>
          <w:rFonts w:cs="Arial"/>
        </w:rPr>
        <w:t>Tel.: 0511 / 9898 3230</w:t>
      </w:r>
    </w:p>
    <w:p w:rsidR="00D46FB7" w:rsidRPr="00224F72" w:rsidRDefault="00D46FB7" w:rsidP="00D46FB7">
      <w:pPr>
        <w:rPr>
          <w:rFonts w:cs="Arial"/>
        </w:rPr>
      </w:pPr>
      <w:r w:rsidRPr="00224F72">
        <w:rPr>
          <w:rFonts w:cs="Arial"/>
        </w:rPr>
        <w:t xml:space="preserve">E-Mail: </w:t>
      </w:r>
      <w:hyperlink r:id="rId22" w:history="1">
        <w:r w:rsidRPr="00224F72">
          <w:rPr>
            <w:rFonts w:cs="Arial"/>
            <w:color w:val="0000FF"/>
            <w:u w:val="single"/>
          </w:rPr>
          <w:t>Schulden-Vermoegen@statistik.niedersachsen.de</w:t>
        </w:r>
      </w:hyperlink>
    </w:p>
    <w:p w:rsidR="00D46FB7" w:rsidRPr="00D46FB7" w:rsidRDefault="00D46FB7" w:rsidP="00D46FB7">
      <w:pPr>
        <w:rPr>
          <w:rFonts w:cs="Arial"/>
          <w:color w:val="000000" w:themeColor="text1"/>
        </w:rPr>
      </w:pPr>
      <w:r w:rsidRPr="00D46FB7">
        <w:rPr>
          <w:rFonts w:cs="Arial"/>
          <w:color w:val="000000" w:themeColor="text1"/>
        </w:rPr>
        <w:t>Aktenzeichen: 43.19716</w:t>
      </w:r>
    </w:p>
    <w:p w:rsidR="00D46FB7" w:rsidRPr="00D46FB7" w:rsidRDefault="00D46FB7" w:rsidP="00D46FB7">
      <w:pPr>
        <w:rPr>
          <w:rFonts w:cs="Arial"/>
          <w:color w:val="000000" w:themeColor="text1"/>
        </w:rPr>
      </w:pPr>
    </w:p>
    <w:p w:rsidR="00D46FB7" w:rsidRPr="00224F72" w:rsidRDefault="00D46FB7" w:rsidP="00D46FB7">
      <w:pPr>
        <w:rPr>
          <w:rFonts w:cs="Arial"/>
          <w:b/>
        </w:rPr>
      </w:pPr>
      <w:r w:rsidRPr="00D46FB7">
        <w:rPr>
          <w:rFonts w:cs="Arial"/>
          <w:b/>
          <w:color w:val="000000" w:themeColor="text1"/>
        </w:rPr>
        <w:t>Abgabetermin</w:t>
      </w:r>
      <w:r w:rsidRPr="00D46FB7">
        <w:rPr>
          <w:rFonts w:cs="Arial"/>
          <w:b/>
        </w:rPr>
        <w:t>: 21. April 2023</w:t>
      </w:r>
    </w:p>
    <w:p w:rsidR="00D46FB7" w:rsidRPr="00224F72" w:rsidRDefault="00D46FB7" w:rsidP="00D46FB7">
      <w:pPr>
        <w:rPr>
          <w:rFonts w:cs="Arial"/>
        </w:rPr>
      </w:pPr>
    </w:p>
    <w:p w:rsidR="00D46FB7" w:rsidRPr="00224F72" w:rsidRDefault="00D46FB7" w:rsidP="00D46FB7">
      <w:pPr>
        <w:rPr>
          <w:rFonts w:cs="Arial"/>
          <w:b/>
        </w:rPr>
      </w:pPr>
      <w:r w:rsidRPr="00224F72">
        <w:rPr>
          <w:rFonts w:cs="Arial"/>
          <w:b/>
        </w:rPr>
        <w:t>Bearbeitungshinweise:</w:t>
      </w:r>
    </w:p>
    <w:p w:rsidR="00D46FB7" w:rsidRPr="00224F72" w:rsidRDefault="00D46FB7" w:rsidP="00D46FB7">
      <w:pPr>
        <w:jc w:val="both"/>
        <w:rPr>
          <w:rFonts w:cs="Arial"/>
        </w:rPr>
      </w:pPr>
      <w:r w:rsidRPr="00224F72">
        <w:rPr>
          <w:rFonts w:cs="Arial"/>
        </w:rPr>
        <w:t xml:space="preserve">Im Internet unter </w:t>
      </w:r>
      <w:r w:rsidRPr="00224F72">
        <w:rPr>
          <w:rFonts w:cs="Arial"/>
          <w:b/>
        </w:rPr>
        <w:t xml:space="preserve">www.statistik.niedersachsen.de </w:t>
      </w:r>
      <w:r w:rsidRPr="00224F72">
        <w:rPr>
          <w:rFonts w:cs="Arial"/>
        </w:rPr>
        <w:t xml:space="preserve">unter </w:t>
      </w:r>
    </w:p>
    <w:p w:rsidR="00D46FB7" w:rsidRPr="00224F72" w:rsidRDefault="00D46FB7" w:rsidP="00D46FB7">
      <w:pPr>
        <w:jc w:val="both"/>
        <w:rPr>
          <w:rFonts w:cs="Arial"/>
        </w:rPr>
      </w:pPr>
    </w:p>
    <w:p w:rsidR="00D46FB7" w:rsidRPr="00224F72" w:rsidRDefault="00D46FB7" w:rsidP="00D46FB7">
      <w:pPr>
        <w:jc w:val="both"/>
        <w:rPr>
          <w:rFonts w:cs="Arial"/>
        </w:rPr>
      </w:pPr>
      <w:r w:rsidRPr="00224F72">
        <w:rPr>
          <w:rFonts w:cs="Arial"/>
        </w:rPr>
        <w:t xml:space="preserve">=&gt; Themen =&gt; Finanzen, Steuern, Personal =&gt; Übersicht =&gt; Finanzen in Niedersachsen =&gt; </w:t>
      </w:r>
      <w:hyperlink r:id="rId23" w:tgtFrame="_self" w:history="1">
        <w:r w:rsidRPr="00224F72">
          <w:rPr>
            <w:rFonts w:cs="Arial"/>
          </w:rPr>
          <w:t>Schulden und Finanzvermögen</w:t>
        </w:r>
      </w:hyperlink>
      <w:r w:rsidRPr="00224F72">
        <w:rPr>
          <w:rFonts w:cs="Arial"/>
        </w:rPr>
        <w:t>sstatistik in Niedersachsen =&gt; Informationen für Auskunftspflichtige</w:t>
      </w:r>
    </w:p>
    <w:p w:rsidR="00D46FB7" w:rsidRPr="00224F72" w:rsidRDefault="00D46FB7" w:rsidP="00D46FB7">
      <w:pPr>
        <w:jc w:val="both"/>
        <w:rPr>
          <w:rFonts w:cs="Arial"/>
        </w:rPr>
      </w:pPr>
    </w:p>
    <w:p w:rsidR="00D46FB7" w:rsidRPr="00224F72" w:rsidRDefault="00D46FB7" w:rsidP="00D46FB7">
      <w:pPr>
        <w:jc w:val="both"/>
        <w:rPr>
          <w:rFonts w:cs="Arial"/>
        </w:rPr>
      </w:pPr>
      <w:r w:rsidRPr="00224F72">
        <w:rPr>
          <w:rFonts w:cs="Arial"/>
        </w:rPr>
        <w:t>finden Sie alle wichtigen Unterlagen und Informationen:</w:t>
      </w:r>
    </w:p>
    <w:p w:rsidR="00D46FB7" w:rsidRPr="00224F72" w:rsidRDefault="00D46FB7" w:rsidP="00D46FB7">
      <w:pPr>
        <w:jc w:val="both"/>
        <w:rPr>
          <w:rFonts w:cs="Arial"/>
        </w:rPr>
      </w:pPr>
    </w:p>
    <w:p w:rsidR="00D46FB7" w:rsidRPr="00224F72" w:rsidRDefault="00D46FB7" w:rsidP="00D46FB7">
      <w:pPr>
        <w:numPr>
          <w:ilvl w:val="0"/>
          <w:numId w:val="4"/>
        </w:numPr>
        <w:contextualSpacing/>
        <w:jc w:val="both"/>
        <w:rPr>
          <w:rFonts w:cs="Arial"/>
        </w:rPr>
      </w:pPr>
      <w:r w:rsidRPr="00224F72">
        <w:rPr>
          <w:rFonts w:cs="Arial"/>
        </w:rPr>
        <w:t>eine Anleitung für den IDEV Versand</w:t>
      </w:r>
    </w:p>
    <w:p w:rsidR="00D46FB7" w:rsidRPr="00224F72" w:rsidRDefault="00D46FB7" w:rsidP="00D46FB7">
      <w:pPr>
        <w:numPr>
          <w:ilvl w:val="0"/>
          <w:numId w:val="4"/>
        </w:numPr>
        <w:contextualSpacing/>
        <w:jc w:val="both"/>
        <w:rPr>
          <w:rFonts w:cs="Arial"/>
        </w:rPr>
      </w:pPr>
      <w:r w:rsidRPr="00224F72">
        <w:rPr>
          <w:rFonts w:cs="Arial"/>
        </w:rPr>
        <w:t xml:space="preserve">eine Excel-Eingabedatei zum Download. Alternativ zur direkten Eingabe in das IDEV-Online Formular kann mit der Excel-Datei offline eine Dateneingabe durchgeführt werden. Aus der Excel-Anwendung kann eine Textdatei im </w:t>
      </w:r>
      <w:proofErr w:type="spellStart"/>
      <w:r w:rsidRPr="00224F72">
        <w:rPr>
          <w:rFonts w:cs="Arial"/>
        </w:rPr>
        <w:t>csv</w:t>
      </w:r>
      <w:proofErr w:type="spellEnd"/>
      <w:r w:rsidRPr="00224F72">
        <w:rPr>
          <w:rFonts w:cs="Arial"/>
        </w:rPr>
        <w:t>-Format exportiert werden, die dann in das IDEV-Online-Formular importiert werden kann.</w:t>
      </w:r>
    </w:p>
    <w:p w:rsidR="00D46FB7" w:rsidRPr="00224F72" w:rsidRDefault="00540D64" w:rsidP="00D46FB7">
      <w:pPr>
        <w:numPr>
          <w:ilvl w:val="0"/>
          <w:numId w:val="4"/>
        </w:numPr>
        <w:contextualSpacing/>
        <w:jc w:val="both"/>
        <w:rPr>
          <w:rFonts w:cs="Arial"/>
        </w:rPr>
      </w:pPr>
      <w:r w:rsidRPr="00224F72">
        <w:rPr>
          <w:rFonts w:cs="Arial"/>
        </w:rPr>
        <w:t>eine schwarz-weiße Druckvorlage</w:t>
      </w:r>
      <w:r w:rsidR="00D46FB7" w:rsidRPr="00224F72">
        <w:rPr>
          <w:rFonts w:cs="Arial"/>
        </w:rPr>
        <w:t xml:space="preserve"> des Fragebogens für Ihre Unterlagen</w:t>
      </w:r>
    </w:p>
    <w:p w:rsidR="00D46FB7" w:rsidRPr="00224F72" w:rsidRDefault="00D46FB7" w:rsidP="00D46FB7">
      <w:pPr>
        <w:numPr>
          <w:ilvl w:val="0"/>
          <w:numId w:val="4"/>
        </w:numPr>
        <w:contextualSpacing/>
        <w:jc w:val="both"/>
        <w:rPr>
          <w:rFonts w:cs="Arial"/>
        </w:rPr>
      </w:pPr>
      <w:r w:rsidRPr="00224F72">
        <w:rPr>
          <w:rFonts w:cs="Arial"/>
        </w:rPr>
        <w:t>eine Synopse mit den Änderungen im Erhebungsprogramm gegenüber dem Vorjahr</w:t>
      </w:r>
    </w:p>
    <w:p w:rsidR="00D46FB7" w:rsidRPr="00224F72" w:rsidRDefault="00D46FB7" w:rsidP="00D46FB7">
      <w:pPr>
        <w:jc w:val="both"/>
        <w:rPr>
          <w:rFonts w:cs="Arial"/>
        </w:rPr>
      </w:pPr>
    </w:p>
    <w:p w:rsidR="00D46FB7" w:rsidRPr="00224F72" w:rsidRDefault="00D46FB7" w:rsidP="00D46FB7">
      <w:pPr>
        <w:jc w:val="both"/>
        <w:rPr>
          <w:rFonts w:cs="Arial"/>
        </w:rPr>
      </w:pPr>
      <w:r w:rsidRPr="00224F72">
        <w:rPr>
          <w:rFonts w:cs="Arial"/>
        </w:rPr>
        <w:t xml:space="preserve">Insbesondere die Statistik des öffentlichen Finanzvermögens setzt eine Kenntnis darüber voraus, welche Beteiligungen Ihrer </w:t>
      </w:r>
      <w:r>
        <w:rPr>
          <w:rFonts w:cs="Arial"/>
        </w:rPr>
        <w:t>Einrichtung</w:t>
      </w:r>
      <w:r w:rsidRPr="00224F72">
        <w:rPr>
          <w:rFonts w:cs="Arial"/>
        </w:rPr>
        <w:t xml:space="preserve"> an öffentlichen Fonds, Einrichtungen oder Unternehmen dem Staatssektor zuzuordnen sind (Extrahaushalte) und welche nicht (sonstige Fonds, Einrichtungen und Unternehmen). Zur erleichterten Bearbeitung wurde im Online-Formular ein entsprechendes Feld hinzugefügt, wo die unmittelbaren Beteiligungen Ihrer </w:t>
      </w:r>
      <w:r>
        <w:rPr>
          <w:rFonts w:cs="Arial"/>
        </w:rPr>
        <w:t>Einrichtung</w:t>
      </w:r>
      <w:r w:rsidRPr="00224F72">
        <w:rPr>
          <w:rFonts w:cs="Arial"/>
        </w:rPr>
        <w:t xml:space="preserve"> und deren Klassifikation ersichtlich sind. Sie finden diese Daten unter der Rubrik „Beteiligungen“. Ich möchte aber darauf hinweisen, dass lediglich die Anteile an </w:t>
      </w:r>
      <w:r w:rsidRPr="00224F72">
        <w:rPr>
          <w:rFonts w:cs="Arial"/>
          <w:b/>
        </w:rPr>
        <w:t>öffentlich bestimmten</w:t>
      </w:r>
      <w:r w:rsidRPr="00224F72">
        <w:rPr>
          <w:rFonts w:cs="Arial"/>
        </w:rPr>
        <w:t xml:space="preserve"> Einheiten angezeigt werden und somit möglicherweise nur ein Teil aller Beteiligungen Ihrer Einrichtung erfasst ist. Die Angaben dienen ausschließlich Ihrer Information und können an dieser Stelle nicht von Ihnen geändert werden.</w:t>
      </w:r>
    </w:p>
    <w:p w:rsidR="00D46FB7" w:rsidRPr="00224F72" w:rsidRDefault="00D46FB7" w:rsidP="00D46FB7">
      <w:pPr>
        <w:jc w:val="both"/>
        <w:rPr>
          <w:rFonts w:cs="Arial"/>
        </w:rPr>
      </w:pPr>
    </w:p>
    <w:p w:rsidR="00D46FB7" w:rsidRPr="00224F72" w:rsidRDefault="00D46FB7" w:rsidP="00D46FB7">
      <w:pPr>
        <w:jc w:val="both"/>
        <w:rPr>
          <w:rFonts w:cs="Arial"/>
          <w:bCs/>
        </w:rPr>
      </w:pPr>
      <w:r w:rsidRPr="00224F72">
        <w:rPr>
          <w:rFonts w:cs="Arial"/>
          <w:bCs/>
        </w:rPr>
        <w:t xml:space="preserve">Zur Vermeidung von Rückfragen bitten wir Sie, im Feld "Bemerkungen" (zusätzlich befinden sich seit der Erhebung 2021 zwei weitere Felder unter dem Bereich Cash-Pooling) auf besondere Ereignisse und Umstände hinzuweisen, aus denen auffällige Veränderungen </w:t>
      </w:r>
      <w:proofErr w:type="spellStart"/>
      <w:r w:rsidRPr="00224F72">
        <w:rPr>
          <w:rFonts w:cs="Arial"/>
          <w:bCs/>
        </w:rPr>
        <w:t>ggü</w:t>
      </w:r>
      <w:proofErr w:type="spellEnd"/>
      <w:r w:rsidRPr="00224F72">
        <w:rPr>
          <w:rFonts w:cs="Arial"/>
          <w:bCs/>
        </w:rPr>
        <w:t xml:space="preserve">. dem Vorjahr oder außergewöhnliche Verhältnisse </w:t>
      </w:r>
      <w:proofErr w:type="gramStart"/>
      <w:r w:rsidRPr="00224F72">
        <w:rPr>
          <w:rFonts w:cs="Arial"/>
          <w:bCs/>
        </w:rPr>
        <w:t>erklärt</w:t>
      </w:r>
      <w:proofErr w:type="gramEnd"/>
      <w:r w:rsidRPr="00224F72">
        <w:rPr>
          <w:rFonts w:cs="Arial"/>
          <w:bCs/>
        </w:rPr>
        <w:t xml:space="preserve"> werden können, insbesondere im Fall von Ein- und Ausgliederungen.</w:t>
      </w:r>
    </w:p>
    <w:p w:rsidR="00D46FB7" w:rsidRPr="00224F72" w:rsidRDefault="00D46FB7" w:rsidP="00D46FB7">
      <w:pPr>
        <w:jc w:val="both"/>
        <w:rPr>
          <w:rFonts w:cs="Arial"/>
          <w:bCs/>
        </w:rPr>
      </w:pPr>
    </w:p>
    <w:p w:rsidR="00D46FB7" w:rsidRPr="00224F72" w:rsidRDefault="00D46FB7" w:rsidP="00D46FB7">
      <w:pPr>
        <w:jc w:val="both"/>
        <w:rPr>
          <w:rFonts w:cs="Arial"/>
          <w:bCs/>
        </w:rPr>
      </w:pPr>
      <w:r w:rsidRPr="00224F72">
        <w:rPr>
          <w:rFonts w:cs="Arial"/>
          <w:bCs/>
        </w:rPr>
        <w:t>Fehlmeldungen bei operativ tätigen Unternehmen werden von uns hinterfragt, da i. d. R. ein Bestand an Bargeld/Kontostand zum Jahresende vorhanden gewesen sein müsste.</w:t>
      </w:r>
    </w:p>
    <w:p w:rsidR="00D46FB7" w:rsidRPr="00224F72" w:rsidRDefault="00D46FB7" w:rsidP="00D46FB7">
      <w:pPr>
        <w:jc w:val="both"/>
        <w:rPr>
          <w:rFonts w:cs="Arial"/>
          <w:bCs/>
        </w:rPr>
      </w:pPr>
    </w:p>
    <w:p w:rsidR="00D46FB7" w:rsidRPr="00224F72" w:rsidRDefault="00D46FB7" w:rsidP="00D46FB7">
      <w:pPr>
        <w:jc w:val="both"/>
        <w:rPr>
          <w:rFonts w:cs="Arial"/>
          <w:bCs/>
        </w:rPr>
      </w:pPr>
      <w:r w:rsidRPr="00224F72">
        <w:rPr>
          <w:rFonts w:cs="Arial"/>
          <w:bCs/>
        </w:rPr>
        <w:t>Generell dürfen die Darunter-Positionen nur kleiner oder gleich der Insgesamt-Positionen sein.</w:t>
      </w:r>
    </w:p>
    <w:p w:rsidR="00D46FB7" w:rsidRPr="00224F72" w:rsidRDefault="00D46FB7" w:rsidP="00D46FB7">
      <w:pPr>
        <w:jc w:val="both"/>
        <w:rPr>
          <w:rFonts w:cs="Arial"/>
          <w:bCs/>
        </w:rPr>
      </w:pPr>
    </w:p>
    <w:p w:rsidR="00D46FB7" w:rsidRPr="00224F72" w:rsidRDefault="00D46FB7" w:rsidP="00D46FB7">
      <w:pPr>
        <w:rPr>
          <w:rFonts w:cs="Arial"/>
          <w:bCs/>
        </w:rPr>
      </w:pPr>
      <w:r w:rsidRPr="00224F72">
        <w:rPr>
          <w:rFonts w:cs="Arial"/>
          <w:bCs/>
        </w:rPr>
        <w:t>Bitte beachten Sie die Erläuterungstexte im IDEV-Onlineformular (durch Anklicken der roten "Info-Felder" öffnet sich ein Fenster mit Erläuterungen).</w:t>
      </w:r>
    </w:p>
    <w:p w:rsidR="00D46FB7" w:rsidRPr="00224F72" w:rsidRDefault="00D46FB7" w:rsidP="00D46FB7">
      <w:pPr>
        <w:rPr>
          <w:rFonts w:cs="Arial"/>
          <w:bCs/>
        </w:rPr>
      </w:pPr>
    </w:p>
    <w:p w:rsidR="00D46FB7" w:rsidRDefault="00D46FB7" w:rsidP="00D46FB7">
      <w:pPr>
        <w:jc w:val="both"/>
        <w:rPr>
          <w:rFonts w:cs="Arial"/>
          <w:bCs/>
        </w:rPr>
      </w:pPr>
      <w:r w:rsidRPr="00224F72">
        <w:rPr>
          <w:rFonts w:cs="Arial"/>
          <w:bCs/>
        </w:rPr>
        <w:t>Bitte archivieren Sie nach Übermittlung der Daten unbedingt die automatisch erzeugte Quittung. Später ist ein Abrufen der gemeldeten Werte nicht mehr möglich.</w:t>
      </w:r>
    </w:p>
    <w:p w:rsidR="00D46FB7" w:rsidRPr="00224F72" w:rsidRDefault="00D46FB7" w:rsidP="00D46FB7">
      <w:pPr>
        <w:jc w:val="both"/>
        <w:rPr>
          <w:rFonts w:cs="Arial"/>
          <w:bCs/>
        </w:rPr>
      </w:pPr>
    </w:p>
    <w:p w:rsidR="00D46FB7" w:rsidRPr="00224F72" w:rsidRDefault="00D46FB7" w:rsidP="00D46FB7">
      <w:pPr>
        <w:rPr>
          <w:rFonts w:cs="Arial"/>
          <w:bCs/>
        </w:rPr>
      </w:pPr>
      <w:r w:rsidRPr="00224F72">
        <w:rPr>
          <w:rFonts w:cs="Arial"/>
          <w:bCs/>
        </w:rPr>
        <w:lastRenderedPageBreak/>
        <w:t>Mit der Erhebung 2020 wurde die Bewertungsmethode der nichtbörsennotierten Aktien geändert. Es gilt folgende Bewertung:</w:t>
      </w:r>
    </w:p>
    <w:p w:rsidR="00D46FB7" w:rsidRDefault="00D46FB7" w:rsidP="00D46FB7">
      <w:pPr>
        <w:rPr>
          <w:rFonts w:cs="Arial"/>
          <w:bCs/>
        </w:rPr>
      </w:pPr>
      <w:r w:rsidRPr="00224F72">
        <w:rPr>
          <w:rFonts w:cs="Arial"/>
          <w:bCs/>
        </w:rPr>
        <w:t>Anteilsrecht = Eigenkapital der Beteiligung x Beteiligungsquote (Anteil am Stammkapital).</w:t>
      </w:r>
    </w:p>
    <w:p w:rsidR="00D46FB7" w:rsidRDefault="00D46FB7" w:rsidP="00D46FB7">
      <w:pPr>
        <w:rPr>
          <w:rFonts w:cs="Arial"/>
          <w:bCs/>
        </w:rPr>
      </w:pPr>
    </w:p>
    <w:p w:rsidR="00D46FB7" w:rsidRPr="00D24509" w:rsidRDefault="00D46FB7" w:rsidP="00D46FB7">
      <w:pPr>
        <w:pStyle w:val="NurText"/>
      </w:pPr>
      <w:r w:rsidRPr="00D46FB7">
        <w:rPr>
          <w:rFonts w:ascii="Arial" w:eastAsia="Times New Roman" w:hAnsi="Arial" w:cs="Arial"/>
          <w:bCs/>
          <w:szCs w:val="24"/>
          <w:lang w:eastAsia="de-DE"/>
        </w:rPr>
        <w:t xml:space="preserve">Da die </w:t>
      </w:r>
      <w:proofErr w:type="spellStart"/>
      <w:r w:rsidRPr="00D46FB7">
        <w:rPr>
          <w:rFonts w:ascii="Arial" w:eastAsia="Times New Roman" w:hAnsi="Arial" w:cs="Arial"/>
          <w:bCs/>
          <w:szCs w:val="24"/>
          <w:lang w:eastAsia="de-DE"/>
        </w:rPr>
        <w:t>Greensill</w:t>
      </w:r>
      <w:proofErr w:type="spellEnd"/>
      <w:r w:rsidRPr="00D46FB7">
        <w:rPr>
          <w:rFonts w:ascii="Arial" w:eastAsia="Times New Roman" w:hAnsi="Arial" w:cs="Arial"/>
          <w:bCs/>
          <w:szCs w:val="24"/>
          <w:lang w:eastAsia="de-DE"/>
        </w:rPr>
        <w:t>-Bank keine Banklizenz mehr besitzt, ist ein Ausweis unter "Bargeld und Einlagen" in der Finanzvermögenstatistik nicht mehr möglich. Der Ausweis sollte nun unter dem Merkmal "Ausleihungen (vergebene Kredite) und Vergabe von liquiden Mitteln (ohne Cash-Pooling) nach Ursprungslaufzeiten" gegenüber dem "sonstigen inländischen Bereich" (Merkmal A3169 / A3179) erfolgen. Darüber hinaus kann der Betrag bei Bedarf ebenfalls unter der Darunter-Position "darunter: ausfallgefährdete Forderungen aus vergebenen Krediten und vergebenen liquiden Mitteln" (Merkmal A3229) ausgewiesen werden</w:t>
      </w:r>
      <w:r w:rsidRPr="00D46FB7">
        <w:t>.</w:t>
      </w:r>
    </w:p>
    <w:p w:rsidR="00D46FB7" w:rsidRPr="00224F72" w:rsidRDefault="00D46FB7" w:rsidP="00D46FB7">
      <w:pPr>
        <w:jc w:val="both"/>
        <w:rPr>
          <w:rFonts w:cs="Arial"/>
        </w:rPr>
      </w:pPr>
    </w:p>
    <w:p w:rsidR="00D46FB7" w:rsidRPr="00224F72" w:rsidRDefault="00D46FB7" w:rsidP="00D46FB7">
      <w:pPr>
        <w:jc w:val="both"/>
        <w:rPr>
          <w:rFonts w:cs="Arial"/>
          <w:b/>
        </w:rPr>
      </w:pPr>
      <w:r w:rsidRPr="00224F72">
        <w:rPr>
          <w:rFonts w:cs="Arial"/>
          <w:b/>
        </w:rPr>
        <w:t>Block Cash-Pooling</w:t>
      </w:r>
    </w:p>
    <w:p w:rsidR="00D46FB7" w:rsidRPr="00224F72" w:rsidRDefault="00D46FB7" w:rsidP="00D46FB7">
      <w:pPr>
        <w:jc w:val="both"/>
        <w:rPr>
          <w:rFonts w:cs="Arial"/>
        </w:rPr>
      </w:pPr>
    </w:p>
    <w:p w:rsidR="00D46FB7" w:rsidRPr="00224F72" w:rsidRDefault="00D46FB7" w:rsidP="00D46FB7">
      <w:pPr>
        <w:jc w:val="both"/>
        <w:rPr>
          <w:rFonts w:cs="Arial"/>
        </w:rPr>
      </w:pPr>
      <w:r w:rsidRPr="00224F72">
        <w:rPr>
          <w:rFonts w:cs="Arial"/>
        </w:rPr>
        <w:t xml:space="preserve">Um Liquiditätsverbünde (Cash-Pooling) besser erfassen zu können, wurde seit der Erhebung 2019 ein neuer Merkmalsblock eingeführt. Für die statistische Erfassung des Cash-Pools werden zwei Rollen unterschieden: der </w:t>
      </w:r>
      <w:r w:rsidRPr="00224F72">
        <w:rPr>
          <w:rFonts w:cs="Arial"/>
          <w:i/>
        </w:rPr>
        <w:t>Cash-Pool-Führer</w:t>
      </w:r>
      <w:r w:rsidRPr="00224F72">
        <w:rPr>
          <w:rFonts w:cs="Arial"/>
        </w:rPr>
        <w:t xml:space="preserve"> als verwaltende Einheit (z.B. </w:t>
      </w:r>
      <w:r>
        <w:rPr>
          <w:rFonts w:cs="Arial"/>
        </w:rPr>
        <w:t>Gemeinde</w:t>
      </w:r>
      <w:r w:rsidRPr="00224F72">
        <w:rPr>
          <w:rFonts w:cs="Arial"/>
        </w:rPr>
        <w:t xml:space="preserve">) und die </w:t>
      </w:r>
      <w:r w:rsidRPr="00224F72">
        <w:rPr>
          <w:rFonts w:cs="Arial"/>
          <w:i/>
        </w:rPr>
        <w:t>Cash-Pool-Einheiten</w:t>
      </w:r>
      <w:r w:rsidRPr="00224F72">
        <w:rPr>
          <w:rFonts w:cs="Arial"/>
        </w:rPr>
        <w:t xml:space="preserve"> als Teilnehmende im Liquiditätsverbund (z.B. </w:t>
      </w:r>
      <w:r>
        <w:rPr>
          <w:rFonts w:cs="Arial"/>
        </w:rPr>
        <w:t>Eigenbetriebe</w:t>
      </w:r>
      <w:r w:rsidRPr="00224F72">
        <w:rPr>
          <w:rFonts w:cs="Arial"/>
        </w:rPr>
        <w:t xml:space="preserve">). Die Verbuchung muss nach dem Bruttoprinzip erfolgen, eine Bereinigung findet über die neuen Merkmale statt. Die Verbindlichkeiten aus dem Liquiditätsverbund nach außen sind vom </w:t>
      </w:r>
      <w:r w:rsidRPr="00224F72">
        <w:rPr>
          <w:rFonts w:cs="Arial"/>
          <w:i/>
        </w:rPr>
        <w:t xml:space="preserve">Cash-Pool-Führer </w:t>
      </w:r>
      <w:r w:rsidRPr="00224F72">
        <w:rPr>
          <w:rFonts w:cs="Arial"/>
        </w:rPr>
        <w:t xml:space="preserve">in der Schuldenstatistik, die Guthaben nach außen in der Finanzvermögensstatistik unter </w:t>
      </w:r>
      <w:r w:rsidRPr="00224F72">
        <w:rPr>
          <w:rFonts w:cs="Arial"/>
          <w:i/>
        </w:rPr>
        <w:t xml:space="preserve">A1049 </w:t>
      </w:r>
      <w:r w:rsidRPr="00224F72">
        <w:rPr>
          <w:rFonts w:cs="Arial"/>
        </w:rPr>
        <w:t xml:space="preserve">zu erfassen. </w:t>
      </w:r>
    </w:p>
    <w:p w:rsidR="00D46FB7" w:rsidRPr="00224F72" w:rsidRDefault="00D46FB7" w:rsidP="00D46FB7">
      <w:pPr>
        <w:jc w:val="both"/>
        <w:rPr>
          <w:rFonts w:cs="Arial"/>
        </w:rPr>
      </w:pPr>
    </w:p>
    <w:p w:rsidR="00D46FB7" w:rsidRPr="00224F72" w:rsidRDefault="00D46FB7" w:rsidP="00D46FB7">
      <w:pPr>
        <w:jc w:val="both"/>
        <w:rPr>
          <w:rFonts w:cs="Arial"/>
        </w:rPr>
      </w:pPr>
      <w:r w:rsidRPr="00224F72">
        <w:rPr>
          <w:rFonts w:cs="Arial"/>
        </w:rPr>
        <w:t xml:space="preserve">Fungiert Ihre Einrichtung als </w:t>
      </w:r>
      <w:r w:rsidRPr="00224F72">
        <w:rPr>
          <w:rFonts w:cs="Arial"/>
          <w:i/>
        </w:rPr>
        <w:t>Cash-Pool-Führer</w:t>
      </w:r>
      <w:r w:rsidRPr="00224F72">
        <w:rPr>
          <w:rFonts w:cs="Arial"/>
        </w:rPr>
        <w:t xml:space="preserve">, sind die sich daraus ergebenden Forderungen gegenüber den </w:t>
      </w:r>
      <w:r w:rsidRPr="00224F72">
        <w:rPr>
          <w:rFonts w:cs="Arial"/>
          <w:i/>
        </w:rPr>
        <w:t>Cash-Pool-Einheiten</w:t>
      </w:r>
      <w:r w:rsidRPr="00224F72">
        <w:rPr>
          <w:rFonts w:cs="Arial"/>
        </w:rPr>
        <w:t xml:space="preserve"> auf dem Merkmalen </w:t>
      </w:r>
      <w:r w:rsidRPr="00224F72">
        <w:rPr>
          <w:rFonts w:cs="Arial"/>
          <w:i/>
        </w:rPr>
        <w:t xml:space="preserve">A3309 </w:t>
      </w:r>
      <w:r w:rsidRPr="00224F72">
        <w:rPr>
          <w:rFonts w:cs="Arial"/>
        </w:rPr>
        <w:t>bis</w:t>
      </w:r>
      <w:r w:rsidRPr="00224F72">
        <w:rPr>
          <w:rFonts w:cs="Arial"/>
          <w:i/>
        </w:rPr>
        <w:t xml:space="preserve"> A3379 </w:t>
      </w:r>
      <w:r w:rsidRPr="00224F72">
        <w:rPr>
          <w:rFonts w:cs="Arial"/>
        </w:rPr>
        <w:t xml:space="preserve">nachzuweisen. </w:t>
      </w:r>
    </w:p>
    <w:p w:rsidR="00D46FB7" w:rsidRPr="00224F72" w:rsidRDefault="00D46FB7" w:rsidP="00D46FB7">
      <w:pPr>
        <w:jc w:val="both"/>
        <w:rPr>
          <w:rFonts w:cs="Arial"/>
        </w:rPr>
      </w:pPr>
    </w:p>
    <w:p w:rsidR="00D46FB7" w:rsidRPr="00224F72" w:rsidRDefault="00D46FB7" w:rsidP="00D46FB7">
      <w:pPr>
        <w:jc w:val="both"/>
        <w:rPr>
          <w:rFonts w:cs="Arial"/>
        </w:rPr>
      </w:pPr>
      <w:r w:rsidRPr="00224F72">
        <w:rPr>
          <w:rFonts w:cs="Arial"/>
        </w:rPr>
        <w:t xml:space="preserve">Ist Ihre Einrichtung hingegen eine teilnehmende </w:t>
      </w:r>
      <w:r w:rsidRPr="00224F72">
        <w:rPr>
          <w:rFonts w:cs="Arial"/>
          <w:i/>
        </w:rPr>
        <w:t>Cash-Pool-Einheit</w:t>
      </w:r>
      <w:r w:rsidRPr="00224F72">
        <w:rPr>
          <w:rFonts w:cs="Arial"/>
        </w:rPr>
        <w:t xml:space="preserve">, so sind sich daraus ergebene Forderungen unter der Positionen </w:t>
      </w:r>
      <w:r w:rsidRPr="00224F72">
        <w:rPr>
          <w:rFonts w:cs="Arial"/>
          <w:i/>
        </w:rPr>
        <w:t xml:space="preserve">A3389 </w:t>
      </w:r>
      <w:r w:rsidRPr="00224F72">
        <w:rPr>
          <w:rFonts w:cs="Arial"/>
        </w:rPr>
        <w:t>bis</w:t>
      </w:r>
      <w:r w:rsidRPr="00224F72">
        <w:rPr>
          <w:rFonts w:cs="Arial"/>
          <w:i/>
        </w:rPr>
        <w:t xml:space="preserve"> A3459 </w:t>
      </w:r>
      <w:r w:rsidRPr="00224F72">
        <w:rPr>
          <w:rFonts w:cs="Arial"/>
        </w:rPr>
        <w:t xml:space="preserve">zu erfassen. Führt der </w:t>
      </w:r>
      <w:r w:rsidRPr="00224F72">
        <w:rPr>
          <w:rFonts w:cs="Arial"/>
          <w:i/>
        </w:rPr>
        <w:t>Cash-Pool-Führer</w:t>
      </w:r>
      <w:r w:rsidRPr="00224F72">
        <w:rPr>
          <w:rFonts w:cs="Arial"/>
        </w:rPr>
        <w:t xml:space="preserve"> selber als teilnehmende Einheit dem Cash-Pool liquide Mittel zu, werden diese Forderungen ebenfalls unter den Positionen </w:t>
      </w:r>
      <w:r w:rsidRPr="00224F72">
        <w:rPr>
          <w:rFonts w:cs="Arial"/>
          <w:i/>
        </w:rPr>
        <w:t>A3389</w:t>
      </w:r>
      <w:r w:rsidRPr="00224F72">
        <w:rPr>
          <w:rFonts w:cs="Arial"/>
        </w:rPr>
        <w:t xml:space="preserve"> bis </w:t>
      </w:r>
      <w:r w:rsidRPr="00224F72">
        <w:rPr>
          <w:rFonts w:cs="Arial"/>
          <w:i/>
        </w:rPr>
        <w:t>A3459</w:t>
      </w:r>
      <w:r w:rsidRPr="00224F72">
        <w:rPr>
          <w:rFonts w:cs="Arial"/>
        </w:rPr>
        <w:t xml:space="preserve"> erfasst.</w:t>
      </w:r>
    </w:p>
    <w:p w:rsidR="00D46FB7" w:rsidRPr="00224F72" w:rsidRDefault="00D46FB7" w:rsidP="00D46FB7">
      <w:pPr>
        <w:jc w:val="both"/>
        <w:rPr>
          <w:rFonts w:cs="Arial"/>
        </w:rPr>
      </w:pPr>
    </w:p>
    <w:p w:rsidR="00D46FB7" w:rsidRPr="00224F72" w:rsidRDefault="00D46FB7" w:rsidP="00D46FB7">
      <w:r w:rsidRPr="00224F72">
        <w:rPr>
          <w:rFonts w:cs="Arial"/>
        </w:rPr>
        <w:t>Ausführliche Informationen zum Thema Cash-Pooling finden Sie in einem Merkblatt, welches aus dem Online-Formular aufgerufen werden kann und auf den Internetseiten des LSN. Eine Synopse mit den Änderungen gegenüber der Vorjahreserhebung finden Sie ebenfalls an dieser Stelle</w:t>
      </w:r>
      <w:r>
        <w:rPr>
          <w:rFonts w:cs="Arial"/>
        </w:rPr>
        <w:t>.</w:t>
      </w:r>
    </w:p>
    <w:bookmarkEnd w:id="11"/>
    <w:p w:rsidR="00D46FB7" w:rsidRPr="00224F72" w:rsidRDefault="00D46FB7" w:rsidP="00D46FB7">
      <w:pPr>
        <w:rPr>
          <w:rFonts w:cs="Arial"/>
        </w:rPr>
      </w:pPr>
    </w:p>
    <w:p w:rsidR="00880736" w:rsidRPr="0000768F" w:rsidRDefault="00880736" w:rsidP="00880736">
      <w:pPr>
        <w:tabs>
          <w:tab w:val="left" w:pos="0"/>
          <w:tab w:val="left" w:pos="708"/>
          <w:tab w:val="left" w:pos="3403"/>
          <w:tab w:val="left" w:pos="6804"/>
          <w:tab w:val="right" w:pos="9639"/>
        </w:tabs>
        <w:rPr>
          <w:rFonts w:cs="Arial"/>
        </w:rPr>
      </w:pPr>
    </w:p>
    <w:p w:rsidR="0052773C" w:rsidRPr="00803860" w:rsidRDefault="0052773C" w:rsidP="0052773C">
      <w:pPr>
        <w:tabs>
          <w:tab w:val="left" w:pos="0"/>
          <w:tab w:val="left" w:pos="708"/>
          <w:tab w:val="left" w:pos="3403"/>
          <w:tab w:val="left" w:pos="6804"/>
          <w:tab w:val="right" w:pos="9639"/>
        </w:tabs>
        <w:ind w:left="397"/>
        <w:rPr>
          <w:rFonts w:cs="Arial"/>
        </w:rPr>
      </w:pPr>
    </w:p>
    <w:p w:rsidR="0052773C" w:rsidRPr="0052773C" w:rsidRDefault="0052773C" w:rsidP="0052773C">
      <w:pPr>
        <w:pStyle w:val="Textkrper"/>
        <w:tabs>
          <w:tab w:val="left" w:pos="708"/>
        </w:tabs>
        <w:jc w:val="left"/>
        <w:rPr>
          <w:rFonts w:cs="Arial"/>
        </w:rPr>
      </w:pPr>
    </w:p>
    <w:sectPr w:rsidR="0052773C" w:rsidRPr="0052773C" w:rsidSect="00332694">
      <w:footerReference w:type="default" r:id="rId24"/>
      <w:type w:val="continuous"/>
      <w:pgSz w:w="11906" w:h="16838" w:code="9"/>
      <w:pgMar w:top="612" w:right="851" w:bottom="1134" w:left="1361" w:header="709" w:footer="15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33F" w:rsidRDefault="00AD133F" w:rsidP="00182B6C">
      <w:pPr>
        <w:pStyle w:val="Kopfzeile"/>
      </w:pPr>
      <w:r>
        <w:separator/>
      </w:r>
    </w:p>
  </w:endnote>
  <w:endnote w:type="continuationSeparator" w:id="0">
    <w:p w:rsidR="00AD133F" w:rsidRDefault="00AD133F" w:rsidP="00182B6C">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ight">
    <w:altName w:val="Segoe UI Semilight"/>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etaNormalLF-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DSFrutiger 45 Light">
    <w:panose1 w:val="02000403040000020004"/>
    <w:charset w:val="00"/>
    <w:family w:val="auto"/>
    <w:pitch w:val="variable"/>
    <w:sig w:usb0="80000027" w:usb1="00000000" w:usb2="00000000" w:usb3="00000000" w:csb0="00000001" w:csb1="00000000"/>
  </w:font>
  <w:font w:name="NDSFrutiger 55 Roman">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77" w:rsidRDefault="00374B77">
    <w:pPr>
      <w:pStyle w:val="Fuzeile"/>
    </w:pPr>
  </w:p>
  <w:p w:rsidR="00374B77" w:rsidRDefault="00374B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362" w:tblpY="15707"/>
      <w:tblW w:w="9980" w:type="dxa"/>
      <w:tblLayout w:type="fixed"/>
      <w:tblCellMar>
        <w:left w:w="0" w:type="dxa"/>
        <w:right w:w="0" w:type="dxa"/>
      </w:tblCellMar>
      <w:tblLook w:val="0000" w:firstRow="0" w:lastRow="0" w:firstColumn="0" w:lastColumn="0" w:noHBand="0" w:noVBand="0"/>
    </w:tblPr>
    <w:tblGrid>
      <w:gridCol w:w="2098"/>
      <w:gridCol w:w="1814"/>
      <w:gridCol w:w="1588"/>
      <w:gridCol w:w="227"/>
      <w:gridCol w:w="4253"/>
    </w:tblGrid>
    <w:tr w:rsidR="00374B77" w:rsidTr="00C92192">
      <w:trPr>
        <w:trHeight w:hRule="exact" w:val="170"/>
      </w:trPr>
      <w:tc>
        <w:tcPr>
          <w:tcW w:w="2098" w:type="dxa"/>
          <w:vAlign w:val="bottom"/>
        </w:tcPr>
        <w:p w:rsidR="00374B77" w:rsidRPr="004A0946" w:rsidRDefault="00374B77" w:rsidP="00C92192">
          <w:pPr>
            <w:pStyle w:val="Fuzeile"/>
            <w:rPr>
              <w:rFonts w:ascii="NDSFrutiger 55 Roman" w:hAnsi="NDSFrutiger 55 Roman"/>
              <w:sz w:val="12"/>
              <w:szCs w:val="12"/>
            </w:rPr>
          </w:pPr>
          <w:r w:rsidRPr="004A0946">
            <w:rPr>
              <w:rFonts w:ascii="NDSFrutiger 55 Roman" w:hAnsi="NDSFrutiger 55 Roman"/>
              <w:sz w:val="12"/>
              <w:szCs w:val="12"/>
            </w:rPr>
            <w:t>Dienstgebäude/</w:t>
          </w:r>
        </w:p>
      </w:tc>
      <w:tc>
        <w:tcPr>
          <w:tcW w:w="1814" w:type="dxa"/>
          <w:vAlign w:val="bottom"/>
        </w:tcPr>
        <w:p w:rsidR="00374B77" w:rsidRPr="004A0946" w:rsidRDefault="00374B77" w:rsidP="00C92192">
          <w:pPr>
            <w:pStyle w:val="Fuzeile"/>
            <w:rPr>
              <w:rFonts w:ascii="NDSFrutiger 55 Roman" w:hAnsi="NDSFrutiger 55 Roman"/>
              <w:sz w:val="12"/>
              <w:szCs w:val="12"/>
            </w:rPr>
          </w:pPr>
          <w:r w:rsidRPr="004A0946">
            <w:rPr>
              <w:rFonts w:ascii="NDSFrutiger 55 Roman" w:hAnsi="NDSFrutiger 55 Roman"/>
              <w:sz w:val="12"/>
              <w:szCs w:val="12"/>
            </w:rPr>
            <w:t>Besuchszeiten</w:t>
          </w:r>
        </w:p>
      </w:tc>
      <w:tc>
        <w:tcPr>
          <w:tcW w:w="1588" w:type="dxa"/>
          <w:vAlign w:val="bottom"/>
        </w:tcPr>
        <w:p w:rsidR="00374B77" w:rsidRPr="004A0946" w:rsidRDefault="00374B77" w:rsidP="00C92192">
          <w:pPr>
            <w:pStyle w:val="Fuzeile"/>
            <w:rPr>
              <w:rFonts w:ascii="NDSFrutiger 55 Roman" w:hAnsi="NDSFrutiger 55 Roman"/>
              <w:sz w:val="12"/>
              <w:szCs w:val="12"/>
            </w:rPr>
          </w:pPr>
          <w:r w:rsidRPr="004A0946">
            <w:rPr>
              <w:rFonts w:ascii="NDSFrutiger 55 Roman" w:hAnsi="NDSFrutiger 55 Roman"/>
              <w:sz w:val="12"/>
              <w:szCs w:val="12"/>
            </w:rPr>
            <w:t>Telefon</w:t>
          </w:r>
        </w:p>
      </w:tc>
      <w:tc>
        <w:tcPr>
          <w:tcW w:w="227" w:type="dxa"/>
          <w:vAlign w:val="bottom"/>
        </w:tcPr>
        <w:p w:rsidR="00374B77" w:rsidRDefault="00374B77" w:rsidP="00C92192">
          <w:pPr>
            <w:pStyle w:val="Fuzeile"/>
            <w:rPr>
              <w:rFonts w:ascii="NDSFrutiger 45 Light" w:hAnsi="NDSFrutiger 45 Light"/>
              <w:b/>
              <w:sz w:val="12"/>
            </w:rPr>
          </w:pPr>
        </w:p>
      </w:tc>
      <w:tc>
        <w:tcPr>
          <w:tcW w:w="4253" w:type="dxa"/>
          <w:vAlign w:val="bottom"/>
        </w:tcPr>
        <w:p w:rsidR="00374B77" w:rsidRPr="004A0946" w:rsidRDefault="00374B77" w:rsidP="00C92192">
          <w:pPr>
            <w:pStyle w:val="Kopfzeile"/>
            <w:tabs>
              <w:tab w:val="left" w:pos="1064"/>
            </w:tabs>
            <w:rPr>
              <w:rFonts w:ascii="NDSFrutiger 55 Roman" w:hAnsi="NDSFrutiger 55 Roman"/>
              <w:sz w:val="12"/>
            </w:rPr>
          </w:pPr>
          <w:r w:rsidRPr="004A0946">
            <w:rPr>
              <w:rFonts w:ascii="NDSFrutiger 55 Roman" w:hAnsi="NDSFrutiger 55 Roman"/>
              <w:sz w:val="12"/>
            </w:rPr>
            <w:t>Bankverbindung</w:t>
          </w:r>
        </w:p>
      </w:tc>
    </w:tr>
    <w:tr w:rsidR="00374B77" w:rsidTr="00C92192">
      <w:tc>
        <w:tcPr>
          <w:tcW w:w="2098" w:type="dxa"/>
          <w:vAlign w:val="bottom"/>
        </w:tcPr>
        <w:p w:rsidR="00374B77" w:rsidRPr="004A0946" w:rsidRDefault="00374B77" w:rsidP="00C92192">
          <w:pPr>
            <w:pStyle w:val="Fuzeile"/>
            <w:rPr>
              <w:rFonts w:ascii="NDSFrutiger 55 Roman" w:hAnsi="NDSFrutiger 55 Roman"/>
              <w:sz w:val="12"/>
              <w:szCs w:val="12"/>
            </w:rPr>
          </w:pPr>
          <w:r w:rsidRPr="004A0946">
            <w:rPr>
              <w:rFonts w:ascii="NDSFrutiger 55 Roman" w:hAnsi="NDSFrutiger 55 Roman"/>
              <w:sz w:val="12"/>
              <w:szCs w:val="12"/>
            </w:rPr>
            <w:t>Paketanschrift</w:t>
          </w:r>
        </w:p>
      </w:tc>
      <w:tc>
        <w:tcPr>
          <w:tcW w:w="1814" w:type="dxa"/>
          <w:vAlign w:val="bottom"/>
        </w:tcPr>
        <w:p w:rsidR="00374B77" w:rsidRDefault="00374B77" w:rsidP="00C92192">
          <w:pPr>
            <w:pStyle w:val="Fuzeile"/>
            <w:rPr>
              <w:rFonts w:ascii="NDSFrutiger 45 Light" w:hAnsi="NDSFrutiger 45 Light"/>
              <w:sz w:val="12"/>
            </w:rPr>
          </w:pPr>
          <w:r>
            <w:rPr>
              <w:rFonts w:ascii="NDSFrutiger 45 Light" w:hAnsi="NDSFrutiger 45 Light"/>
              <w:sz w:val="12"/>
            </w:rPr>
            <w:t>nach Vereinbarung</w:t>
          </w:r>
        </w:p>
      </w:tc>
      <w:tc>
        <w:tcPr>
          <w:tcW w:w="1588" w:type="dxa"/>
          <w:vAlign w:val="bottom"/>
        </w:tcPr>
        <w:p w:rsidR="00374B77" w:rsidRDefault="00374B77" w:rsidP="00C92192">
          <w:pPr>
            <w:pStyle w:val="Fuzeile"/>
            <w:rPr>
              <w:rFonts w:ascii="NDSFrutiger 45 Light" w:hAnsi="NDSFrutiger 45 Light"/>
              <w:sz w:val="12"/>
            </w:rPr>
          </w:pPr>
          <w:bookmarkStart w:id="0" w:name="TelefonGS"/>
          <w:r>
            <w:rPr>
              <w:rFonts w:ascii="NDSFrutiger 45 Light" w:hAnsi="NDSFrutiger 45 Light"/>
              <w:sz w:val="12"/>
            </w:rPr>
            <w:t>(0511) 9898-0</w:t>
          </w:r>
          <w:bookmarkEnd w:id="0"/>
        </w:p>
      </w:tc>
      <w:tc>
        <w:tcPr>
          <w:tcW w:w="227" w:type="dxa"/>
          <w:vAlign w:val="bottom"/>
        </w:tcPr>
        <w:p w:rsidR="00374B77" w:rsidRDefault="00374B77" w:rsidP="00C92192">
          <w:pPr>
            <w:pStyle w:val="Fuzeile"/>
            <w:rPr>
              <w:rFonts w:ascii="NDSFrutiger 45 Light" w:hAnsi="NDSFrutiger 45 Light"/>
              <w:sz w:val="12"/>
            </w:rPr>
          </w:pPr>
        </w:p>
      </w:tc>
      <w:tc>
        <w:tcPr>
          <w:tcW w:w="4253" w:type="dxa"/>
          <w:vAlign w:val="bottom"/>
        </w:tcPr>
        <w:p w:rsidR="00374B77" w:rsidRDefault="00374B77" w:rsidP="00C92192">
          <w:pPr>
            <w:pStyle w:val="Fuzeile"/>
            <w:tabs>
              <w:tab w:val="left" w:pos="567"/>
              <w:tab w:val="left" w:pos="1064"/>
              <w:tab w:val="left" w:pos="1474"/>
              <w:tab w:val="left" w:pos="2778"/>
            </w:tabs>
            <w:rPr>
              <w:rFonts w:ascii="NDSFrutiger 45 Light" w:hAnsi="NDSFrutiger 45 Light"/>
              <w:sz w:val="12"/>
            </w:rPr>
          </w:pPr>
          <w:proofErr w:type="spellStart"/>
          <w:r>
            <w:rPr>
              <w:rFonts w:ascii="NDSFrutiger 45 Light" w:hAnsi="NDSFrutiger 45 Light"/>
              <w:sz w:val="12"/>
            </w:rPr>
            <w:t>NordLB</w:t>
          </w:r>
          <w:proofErr w:type="spellEnd"/>
          <w:r>
            <w:rPr>
              <w:rFonts w:ascii="NDSFrutiger 45 Light" w:hAnsi="NDSFrutiger 45 Light"/>
              <w:sz w:val="12"/>
            </w:rPr>
            <w:t xml:space="preserve"> Hannover (BLZ 250 500 00) Konto 106 020 464</w:t>
          </w:r>
        </w:p>
      </w:tc>
    </w:tr>
    <w:tr w:rsidR="00374B77" w:rsidTr="00C92192">
      <w:tc>
        <w:tcPr>
          <w:tcW w:w="2098" w:type="dxa"/>
          <w:vMerge w:val="restart"/>
          <w:vAlign w:val="bottom"/>
        </w:tcPr>
        <w:p w:rsidR="00374B77" w:rsidRDefault="00374B77" w:rsidP="00C92192">
          <w:pPr>
            <w:rPr>
              <w:rFonts w:ascii="NDSFrutiger 45 Light" w:hAnsi="NDSFrutiger 45 Light"/>
              <w:sz w:val="12"/>
            </w:rPr>
          </w:pPr>
          <w:bookmarkStart w:id="1" w:name="DG"/>
          <w:r>
            <w:rPr>
              <w:rFonts w:ascii="NDSFrutiger 45 Light" w:hAnsi="NDSFrutiger 45 Light"/>
              <w:sz w:val="12"/>
            </w:rPr>
            <w:t>Göttinger Chaussee 76</w:t>
          </w:r>
          <w:r>
            <w:rPr>
              <w:rFonts w:ascii="NDSFrutiger 45 Light" w:hAnsi="NDSFrutiger 45 Light"/>
              <w:sz w:val="12"/>
            </w:rPr>
            <w:br/>
            <w:t>30453 Hannover</w:t>
          </w:r>
          <w:bookmarkEnd w:id="1"/>
        </w:p>
      </w:tc>
      <w:tc>
        <w:tcPr>
          <w:tcW w:w="1814" w:type="dxa"/>
          <w:vAlign w:val="bottom"/>
        </w:tcPr>
        <w:p w:rsidR="00374B77" w:rsidRDefault="00374B77" w:rsidP="00C92192">
          <w:pPr>
            <w:pStyle w:val="Fuzeile"/>
            <w:rPr>
              <w:rFonts w:ascii="NDSFrutiger 45 Light" w:hAnsi="NDSFrutiger 45 Light"/>
              <w:sz w:val="12"/>
            </w:rPr>
          </w:pPr>
        </w:p>
      </w:tc>
      <w:tc>
        <w:tcPr>
          <w:tcW w:w="1588" w:type="dxa"/>
          <w:vAlign w:val="bottom"/>
        </w:tcPr>
        <w:p w:rsidR="00374B77" w:rsidRPr="004A0946" w:rsidRDefault="00374B77" w:rsidP="00C92192">
          <w:pPr>
            <w:pStyle w:val="Fuzeile"/>
            <w:rPr>
              <w:rFonts w:ascii="NDSFrutiger 55 Roman" w:hAnsi="NDSFrutiger 55 Roman"/>
              <w:sz w:val="12"/>
              <w:szCs w:val="12"/>
            </w:rPr>
          </w:pPr>
          <w:r w:rsidRPr="004A0946">
            <w:rPr>
              <w:rFonts w:ascii="NDSFrutiger 55 Roman" w:hAnsi="NDSFrutiger 55 Roman"/>
              <w:sz w:val="12"/>
              <w:szCs w:val="12"/>
            </w:rPr>
            <w:t>Telefax</w:t>
          </w:r>
        </w:p>
      </w:tc>
      <w:tc>
        <w:tcPr>
          <w:tcW w:w="227" w:type="dxa"/>
          <w:vAlign w:val="bottom"/>
        </w:tcPr>
        <w:p w:rsidR="00374B77" w:rsidRDefault="00374B77" w:rsidP="00C92192">
          <w:pPr>
            <w:pStyle w:val="Fuzeile"/>
            <w:rPr>
              <w:rFonts w:ascii="NDSFrutiger 45 Light" w:hAnsi="NDSFrutiger 45 Light"/>
              <w:sz w:val="12"/>
            </w:rPr>
          </w:pPr>
        </w:p>
      </w:tc>
      <w:tc>
        <w:tcPr>
          <w:tcW w:w="4253" w:type="dxa"/>
          <w:vAlign w:val="bottom"/>
        </w:tcPr>
        <w:p w:rsidR="00374B77" w:rsidRDefault="00374B77" w:rsidP="00C92192">
          <w:pPr>
            <w:pStyle w:val="Kopfzeile"/>
            <w:tabs>
              <w:tab w:val="left" w:pos="567"/>
              <w:tab w:val="left" w:pos="1064"/>
              <w:tab w:val="left" w:pos="1474"/>
              <w:tab w:val="left" w:pos="2778"/>
            </w:tabs>
            <w:rPr>
              <w:rFonts w:ascii="NDSFrutiger 45 Light" w:hAnsi="NDSFrutiger 45 Light"/>
              <w:sz w:val="12"/>
            </w:rPr>
          </w:pPr>
          <w:r>
            <w:rPr>
              <w:rFonts w:ascii="NDSFrutiger 45 Light" w:hAnsi="NDSFrutiger 45 Light"/>
              <w:sz w:val="12"/>
            </w:rPr>
            <w:t>IBAN: DE35 2505 0000 0106 0204 64</w:t>
          </w:r>
        </w:p>
      </w:tc>
    </w:tr>
    <w:tr w:rsidR="00374B77" w:rsidTr="00C92192">
      <w:tc>
        <w:tcPr>
          <w:tcW w:w="2098" w:type="dxa"/>
          <w:vMerge/>
          <w:vAlign w:val="bottom"/>
        </w:tcPr>
        <w:p w:rsidR="00374B77" w:rsidRDefault="00374B77" w:rsidP="00C92192">
          <w:pPr>
            <w:pStyle w:val="Fuzeile"/>
            <w:rPr>
              <w:rFonts w:ascii="NDSFrutiger 45 Light" w:hAnsi="NDSFrutiger 45 Light"/>
              <w:sz w:val="12"/>
            </w:rPr>
          </w:pPr>
        </w:p>
      </w:tc>
      <w:tc>
        <w:tcPr>
          <w:tcW w:w="1814" w:type="dxa"/>
          <w:vAlign w:val="bottom"/>
        </w:tcPr>
        <w:p w:rsidR="00374B77" w:rsidRDefault="00374B77" w:rsidP="00C92192">
          <w:pPr>
            <w:pStyle w:val="Fuzeile"/>
            <w:rPr>
              <w:rFonts w:ascii="NDSFrutiger 45 Light" w:hAnsi="NDSFrutiger 45 Light"/>
              <w:sz w:val="12"/>
            </w:rPr>
          </w:pPr>
        </w:p>
      </w:tc>
      <w:tc>
        <w:tcPr>
          <w:tcW w:w="1588" w:type="dxa"/>
          <w:vAlign w:val="bottom"/>
        </w:tcPr>
        <w:p w:rsidR="00374B77" w:rsidRDefault="00374B77" w:rsidP="00C92192">
          <w:pPr>
            <w:pStyle w:val="Fuzeile"/>
            <w:rPr>
              <w:rFonts w:ascii="NDSFrutiger 45 Light" w:hAnsi="NDSFrutiger 45 Light"/>
              <w:sz w:val="12"/>
            </w:rPr>
          </w:pPr>
          <w:bookmarkStart w:id="2" w:name="TelefaxGS"/>
          <w:r>
            <w:rPr>
              <w:rFonts w:ascii="NDSFrutiger 45 Light" w:hAnsi="NDSFrutiger 45 Light"/>
              <w:sz w:val="12"/>
            </w:rPr>
            <w:t>(0511) 9898-4000</w:t>
          </w:r>
          <w:bookmarkEnd w:id="2"/>
        </w:p>
      </w:tc>
      <w:tc>
        <w:tcPr>
          <w:tcW w:w="227" w:type="dxa"/>
          <w:vAlign w:val="bottom"/>
        </w:tcPr>
        <w:p w:rsidR="00374B77" w:rsidRDefault="00374B77" w:rsidP="00C92192">
          <w:pPr>
            <w:pStyle w:val="Fuzeile"/>
            <w:rPr>
              <w:rFonts w:ascii="NDSFrutiger 45 Light" w:hAnsi="NDSFrutiger 45 Light"/>
              <w:sz w:val="12"/>
            </w:rPr>
          </w:pPr>
        </w:p>
      </w:tc>
      <w:tc>
        <w:tcPr>
          <w:tcW w:w="4253" w:type="dxa"/>
          <w:vAlign w:val="bottom"/>
        </w:tcPr>
        <w:p w:rsidR="00374B77" w:rsidRDefault="00374B77" w:rsidP="00C92192">
          <w:pPr>
            <w:pStyle w:val="Kopfzeile"/>
            <w:tabs>
              <w:tab w:val="left" w:pos="567"/>
              <w:tab w:val="left" w:pos="1064"/>
              <w:tab w:val="left" w:pos="1474"/>
              <w:tab w:val="left" w:pos="2778"/>
            </w:tabs>
            <w:rPr>
              <w:rFonts w:ascii="NDSFrutiger 45 Light" w:hAnsi="NDSFrutiger 45 Light"/>
              <w:sz w:val="12"/>
            </w:rPr>
          </w:pPr>
          <w:r>
            <w:rPr>
              <w:rFonts w:ascii="NDSFrutiger 45 Light" w:hAnsi="NDSFrutiger 45 Light"/>
              <w:sz w:val="12"/>
            </w:rPr>
            <w:t>BIC: NOLADE2H</w:t>
          </w:r>
        </w:p>
      </w:tc>
    </w:tr>
  </w:tbl>
  <w:p w:rsidR="00374B77" w:rsidRDefault="00374B77" w:rsidP="00CF2559">
    <w:pPr>
      <w:pStyle w:val="Fuzeile"/>
    </w:pPr>
    <w:r>
      <w:rPr>
        <w:noProof/>
      </w:rPr>
      <w:drawing>
        <wp:anchor distT="0" distB="0" distL="114300" distR="114300" simplePos="0" relativeHeight="251659264" behindDoc="0" locked="0" layoutInCell="1" allowOverlap="1" wp14:anchorId="0521BE63" wp14:editId="7A917E48">
          <wp:simplePos x="0" y="0"/>
          <wp:positionH relativeFrom="column">
            <wp:posOffset>5705340</wp:posOffset>
          </wp:positionH>
          <wp:positionV relativeFrom="paragraph">
            <wp:posOffset>153911</wp:posOffset>
          </wp:positionV>
          <wp:extent cx="613508" cy="613508"/>
          <wp:effectExtent l="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dit_bf_z_09_cmyk_5_GIMP-4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3508" cy="613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56FE">
      <w:rPr>
        <w:sz w:val="20"/>
        <w:szCs w:val="20"/>
      </w:rPr>
      <w:ptab w:relativeTo="margin" w:alignment="center" w:leader="none"/>
    </w:r>
    <w:r w:rsidRPr="005266E0">
      <w:rPr>
        <w:rFonts w:ascii="NDSFrutiger 45 Light" w:hAnsi="NDSFrutiger 45 Light"/>
        <w:sz w:val="20"/>
        <w:szCs w:val="20"/>
      </w:rPr>
      <w:t xml:space="preserve">- </w:t>
    </w:r>
    <w:r w:rsidRPr="005266E0">
      <w:rPr>
        <w:rFonts w:ascii="NDSFrutiger 45 Light" w:hAnsi="NDSFrutiger 45 Light"/>
        <w:sz w:val="20"/>
        <w:szCs w:val="20"/>
      </w:rPr>
      <w:fldChar w:fldCharType="begin"/>
    </w:r>
    <w:r w:rsidRPr="005266E0">
      <w:rPr>
        <w:rFonts w:ascii="NDSFrutiger 45 Light" w:hAnsi="NDSFrutiger 45 Light"/>
        <w:sz w:val="20"/>
        <w:szCs w:val="20"/>
      </w:rPr>
      <w:instrText xml:space="preserve"> PAGE </w:instrText>
    </w:r>
    <w:r w:rsidRPr="005266E0">
      <w:rPr>
        <w:rFonts w:ascii="NDSFrutiger 45 Light" w:hAnsi="NDSFrutiger 45 Light"/>
        <w:sz w:val="20"/>
        <w:szCs w:val="20"/>
      </w:rPr>
      <w:fldChar w:fldCharType="separate"/>
    </w:r>
    <w:r>
      <w:rPr>
        <w:rFonts w:ascii="NDSFrutiger 45 Light" w:hAnsi="NDSFrutiger 45 Light"/>
        <w:noProof/>
        <w:sz w:val="20"/>
        <w:szCs w:val="20"/>
      </w:rPr>
      <w:t>1</w:t>
    </w:r>
    <w:r w:rsidRPr="005266E0">
      <w:rPr>
        <w:rFonts w:ascii="NDSFrutiger 45 Light" w:hAnsi="NDSFrutiger 45 Light"/>
        <w:sz w:val="20"/>
        <w:szCs w:val="20"/>
      </w:rPr>
      <w:fldChar w:fldCharType="end"/>
    </w:r>
    <w:r w:rsidRPr="005266E0">
      <w:rPr>
        <w:rFonts w:ascii="NDSFrutiger 45 Light" w:hAnsi="NDSFrutiger 45 Light"/>
        <w:sz w:val="20"/>
        <w:szCs w:val="20"/>
      </w:rPr>
      <w:t xml:space="preserve"> </w:t>
    </w:r>
    <w:r>
      <w:rPr>
        <w:rFonts w:ascii="NDSFrutiger 45 Light" w:hAnsi="NDSFrutiger 45 Light"/>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77" w:rsidRDefault="00374B7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362" w:tblpY="15707"/>
      <w:tblW w:w="9980" w:type="dxa"/>
      <w:tblLayout w:type="fixed"/>
      <w:tblCellMar>
        <w:left w:w="0" w:type="dxa"/>
        <w:right w:w="0" w:type="dxa"/>
      </w:tblCellMar>
      <w:tblLook w:val="0000" w:firstRow="0" w:lastRow="0" w:firstColumn="0" w:lastColumn="0" w:noHBand="0" w:noVBand="0"/>
    </w:tblPr>
    <w:tblGrid>
      <w:gridCol w:w="2098"/>
      <w:gridCol w:w="1814"/>
      <w:gridCol w:w="1588"/>
      <w:gridCol w:w="227"/>
      <w:gridCol w:w="4253"/>
    </w:tblGrid>
    <w:tr w:rsidR="00374B77" w:rsidTr="00C92192">
      <w:trPr>
        <w:trHeight w:hRule="exact" w:val="170"/>
      </w:trPr>
      <w:tc>
        <w:tcPr>
          <w:tcW w:w="2098" w:type="dxa"/>
          <w:vAlign w:val="bottom"/>
        </w:tcPr>
        <w:p w:rsidR="00374B77" w:rsidRPr="004A0946" w:rsidRDefault="00374B77" w:rsidP="00C92192">
          <w:pPr>
            <w:pStyle w:val="Fuzeile"/>
            <w:rPr>
              <w:rFonts w:ascii="NDSFrutiger 55 Roman" w:hAnsi="NDSFrutiger 55 Roman"/>
              <w:sz w:val="12"/>
              <w:szCs w:val="12"/>
            </w:rPr>
          </w:pPr>
        </w:p>
      </w:tc>
      <w:tc>
        <w:tcPr>
          <w:tcW w:w="1814" w:type="dxa"/>
          <w:vAlign w:val="bottom"/>
        </w:tcPr>
        <w:p w:rsidR="00374B77" w:rsidRPr="004A0946" w:rsidRDefault="00374B77" w:rsidP="00C92192">
          <w:pPr>
            <w:pStyle w:val="Fuzeile"/>
            <w:rPr>
              <w:rFonts w:ascii="NDSFrutiger 55 Roman" w:hAnsi="NDSFrutiger 55 Roman"/>
              <w:sz w:val="12"/>
              <w:szCs w:val="12"/>
            </w:rPr>
          </w:pPr>
        </w:p>
      </w:tc>
      <w:tc>
        <w:tcPr>
          <w:tcW w:w="1588" w:type="dxa"/>
          <w:vAlign w:val="bottom"/>
        </w:tcPr>
        <w:p w:rsidR="00374B77" w:rsidRPr="004A0946" w:rsidRDefault="00374B77" w:rsidP="00C92192">
          <w:pPr>
            <w:pStyle w:val="Fuzeile"/>
            <w:rPr>
              <w:rFonts w:ascii="NDSFrutiger 55 Roman" w:hAnsi="NDSFrutiger 55 Roman"/>
              <w:sz w:val="12"/>
              <w:szCs w:val="12"/>
            </w:rPr>
          </w:pPr>
        </w:p>
      </w:tc>
      <w:tc>
        <w:tcPr>
          <w:tcW w:w="227" w:type="dxa"/>
          <w:vAlign w:val="bottom"/>
        </w:tcPr>
        <w:p w:rsidR="00374B77" w:rsidRDefault="00374B77" w:rsidP="00C92192">
          <w:pPr>
            <w:pStyle w:val="Fuzeile"/>
            <w:rPr>
              <w:rFonts w:ascii="NDSFrutiger 45 Light" w:hAnsi="NDSFrutiger 45 Light"/>
              <w:b/>
              <w:sz w:val="12"/>
            </w:rPr>
          </w:pPr>
        </w:p>
      </w:tc>
      <w:tc>
        <w:tcPr>
          <w:tcW w:w="4253" w:type="dxa"/>
          <w:vAlign w:val="bottom"/>
        </w:tcPr>
        <w:p w:rsidR="00374B77" w:rsidRPr="004A0946" w:rsidRDefault="00374B77" w:rsidP="00C92192">
          <w:pPr>
            <w:pStyle w:val="Kopfzeile"/>
            <w:tabs>
              <w:tab w:val="left" w:pos="1064"/>
            </w:tabs>
            <w:rPr>
              <w:rFonts w:ascii="NDSFrutiger 55 Roman" w:hAnsi="NDSFrutiger 55 Roman"/>
              <w:sz w:val="12"/>
            </w:rPr>
          </w:pPr>
        </w:p>
      </w:tc>
    </w:tr>
    <w:tr w:rsidR="00374B77" w:rsidTr="00C92192">
      <w:tc>
        <w:tcPr>
          <w:tcW w:w="2098" w:type="dxa"/>
          <w:vAlign w:val="bottom"/>
        </w:tcPr>
        <w:p w:rsidR="00374B77" w:rsidRPr="004A0946" w:rsidRDefault="00374B77" w:rsidP="00C92192">
          <w:pPr>
            <w:pStyle w:val="Fuzeile"/>
            <w:rPr>
              <w:rFonts w:ascii="NDSFrutiger 55 Roman" w:hAnsi="NDSFrutiger 55 Roman"/>
              <w:sz w:val="12"/>
              <w:szCs w:val="12"/>
            </w:rPr>
          </w:pPr>
        </w:p>
      </w:tc>
      <w:tc>
        <w:tcPr>
          <w:tcW w:w="1814" w:type="dxa"/>
          <w:vAlign w:val="bottom"/>
        </w:tcPr>
        <w:p w:rsidR="00374B77" w:rsidRDefault="00374B77" w:rsidP="00C92192">
          <w:pPr>
            <w:pStyle w:val="Fuzeile"/>
            <w:rPr>
              <w:rFonts w:ascii="NDSFrutiger 45 Light" w:hAnsi="NDSFrutiger 45 Light"/>
              <w:sz w:val="12"/>
            </w:rPr>
          </w:pPr>
        </w:p>
      </w:tc>
      <w:tc>
        <w:tcPr>
          <w:tcW w:w="1588" w:type="dxa"/>
          <w:vAlign w:val="bottom"/>
        </w:tcPr>
        <w:p w:rsidR="00374B77" w:rsidRDefault="00374B77" w:rsidP="00C92192">
          <w:pPr>
            <w:pStyle w:val="Fuzeile"/>
            <w:rPr>
              <w:rFonts w:ascii="NDSFrutiger 45 Light" w:hAnsi="NDSFrutiger 45 Light"/>
              <w:sz w:val="12"/>
            </w:rPr>
          </w:pPr>
        </w:p>
      </w:tc>
      <w:tc>
        <w:tcPr>
          <w:tcW w:w="227" w:type="dxa"/>
          <w:vAlign w:val="bottom"/>
        </w:tcPr>
        <w:p w:rsidR="00374B77" w:rsidRDefault="00374B77" w:rsidP="00C92192">
          <w:pPr>
            <w:pStyle w:val="Fuzeile"/>
            <w:rPr>
              <w:rFonts w:ascii="NDSFrutiger 45 Light" w:hAnsi="NDSFrutiger 45 Light"/>
              <w:sz w:val="12"/>
            </w:rPr>
          </w:pPr>
        </w:p>
      </w:tc>
      <w:tc>
        <w:tcPr>
          <w:tcW w:w="4253" w:type="dxa"/>
          <w:vAlign w:val="bottom"/>
        </w:tcPr>
        <w:p w:rsidR="00374B77" w:rsidRDefault="00374B77" w:rsidP="00C92192">
          <w:pPr>
            <w:pStyle w:val="Fuzeile"/>
            <w:tabs>
              <w:tab w:val="left" w:pos="567"/>
              <w:tab w:val="left" w:pos="1064"/>
              <w:tab w:val="left" w:pos="1474"/>
              <w:tab w:val="left" w:pos="2778"/>
            </w:tabs>
            <w:rPr>
              <w:rFonts w:ascii="NDSFrutiger 45 Light" w:hAnsi="NDSFrutiger 45 Light"/>
              <w:sz w:val="12"/>
            </w:rPr>
          </w:pPr>
        </w:p>
      </w:tc>
    </w:tr>
    <w:tr w:rsidR="00374B77" w:rsidTr="00C92192">
      <w:tc>
        <w:tcPr>
          <w:tcW w:w="2098" w:type="dxa"/>
          <w:vMerge w:val="restart"/>
          <w:vAlign w:val="bottom"/>
        </w:tcPr>
        <w:p w:rsidR="00374B77" w:rsidRDefault="00374B77" w:rsidP="00C92192">
          <w:pPr>
            <w:rPr>
              <w:rFonts w:ascii="NDSFrutiger 45 Light" w:hAnsi="NDSFrutiger 45 Light"/>
              <w:sz w:val="12"/>
            </w:rPr>
          </w:pPr>
        </w:p>
      </w:tc>
      <w:tc>
        <w:tcPr>
          <w:tcW w:w="1814" w:type="dxa"/>
          <w:vAlign w:val="bottom"/>
        </w:tcPr>
        <w:p w:rsidR="00374B77" w:rsidRDefault="00374B77" w:rsidP="00C92192">
          <w:pPr>
            <w:pStyle w:val="Fuzeile"/>
            <w:rPr>
              <w:rFonts w:ascii="NDSFrutiger 45 Light" w:hAnsi="NDSFrutiger 45 Light"/>
              <w:sz w:val="12"/>
            </w:rPr>
          </w:pPr>
        </w:p>
      </w:tc>
      <w:tc>
        <w:tcPr>
          <w:tcW w:w="1588" w:type="dxa"/>
          <w:vAlign w:val="bottom"/>
        </w:tcPr>
        <w:p w:rsidR="00374B77" w:rsidRPr="004A0946" w:rsidRDefault="00374B77" w:rsidP="00C92192">
          <w:pPr>
            <w:pStyle w:val="Fuzeile"/>
            <w:rPr>
              <w:rFonts w:ascii="NDSFrutiger 55 Roman" w:hAnsi="NDSFrutiger 55 Roman"/>
              <w:sz w:val="12"/>
              <w:szCs w:val="12"/>
            </w:rPr>
          </w:pPr>
        </w:p>
      </w:tc>
      <w:tc>
        <w:tcPr>
          <w:tcW w:w="227" w:type="dxa"/>
          <w:vAlign w:val="bottom"/>
        </w:tcPr>
        <w:p w:rsidR="00374B77" w:rsidRDefault="00374B77" w:rsidP="00C92192">
          <w:pPr>
            <w:pStyle w:val="Fuzeile"/>
            <w:rPr>
              <w:rFonts w:ascii="NDSFrutiger 45 Light" w:hAnsi="NDSFrutiger 45 Light"/>
              <w:sz w:val="12"/>
            </w:rPr>
          </w:pPr>
        </w:p>
      </w:tc>
      <w:tc>
        <w:tcPr>
          <w:tcW w:w="4253" w:type="dxa"/>
          <w:vAlign w:val="bottom"/>
        </w:tcPr>
        <w:p w:rsidR="00374B77" w:rsidRDefault="00374B77" w:rsidP="00C92192">
          <w:pPr>
            <w:pStyle w:val="Kopfzeile"/>
            <w:tabs>
              <w:tab w:val="left" w:pos="567"/>
              <w:tab w:val="left" w:pos="1064"/>
              <w:tab w:val="left" w:pos="1474"/>
              <w:tab w:val="left" w:pos="2778"/>
            </w:tabs>
            <w:rPr>
              <w:rFonts w:ascii="NDSFrutiger 45 Light" w:hAnsi="NDSFrutiger 45 Light"/>
              <w:sz w:val="12"/>
            </w:rPr>
          </w:pPr>
        </w:p>
      </w:tc>
    </w:tr>
    <w:tr w:rsidR="00374B77" w:rsidTr="00C92192">
      <w:tc>
        <w:tcPr>
          <w:tcW w:w="2098" w:type="dxa"/>
          <w:vMerge/>
          <w:vAlign w:val="bottom"/>
        </w:tcPr>
        <w:p w:rsidR="00374B77" w:rsidRDefault="00374B77" w:rsidP="00C92192">
          <w:pPr>
            <w:pStyle w:val="Fuzeile"/>
            <w:rPr>
              <w:rFonts w:ascii="NDSFrutiger 45 Light" w:hAnsi="NDSFrutiger 45 Light"/>
              <w:sz w:val="12"/>
            </w:rPr>
          </w:pPr>
        </w:p>
      </w:tc>
      <w:tc>
        <w:tcPr>
          <w:tcW w:w="1814" w:type="dxa"/>
          <w:vAlign w:val="bottom"/>
        </w:tcPr>
        <w:p w:rsidR="00374B77" w:rsidRDefault="00374B77" w:rsidP="00C92192">
          <w:pPr>
            <w:pStyle w:val="Fuzeile"/>
            <w:rPr>
              <w:rFonts w:ascii="NDSFrutiger 45 Light" w:hAnsi="NDSFrutiger 45 Light"/>
              <w:sz w:val="12"/>
            </w:rPr>
          </w:pPr>
        </w:p>
      </w:tc>
      <w:tc>
        <w:tcPr>
          <w:tcW w:w="1588" w:type="dxa"/>
          <w:vAlign w:val="bottom"/>
        </w:tcPr>
        <w:p w:rsidR="00374B77" w:rsidRDefault="00374B77" w:rsidP="00C92192">
          <w:pPr>
            <w:pStyle w:val="Fuzeile"/>
            <w:rPr>
              <w:rFonts w:ascii="NDSFrutiger 45 Light" w:hAnsi="NDSFrutiger 45 Light"/>
              <w:sz w:val="12"/>
            </w:rPr>
          </w:pPr>
        </w:p>
      </w:tc>
      <w:tc>
        <w:tcPr>
          <w:tcW w:w="227" w:type="dxa"/>
          <w:vAlign w:val="bottom"/>
        </w:tcPr>
        <w:p w:rsidR="00374B77" w:rsidRDefault="00374B77" w:rsidP="00C92192">
          <w:pPr>
            <w:pStyle w:val="Fuzeile"/>
            <w:rPr>
              <w:rFonts w:ascii="NDSFrutiger 45 Light" w:hAnsi="NDSFrutiger 45 Light"/>
              <w:sz w:val="12"/>
            </w:rPr>
          </w:pPr>
        </w:p>
      </w:tc>
      <w:tc>
        <w:tcPr>
          <w:tcW w:w="4253" w:type="dxa"/>
          <w:vAlign w:val="bottom"/>
        </w:tcPr>
        <w:p w:rsidR="00374B77" w:rsidRDefault="00374B77" w:rsidP="00C92192">
          <w:pPr>
            <w:pStyle w:val="Kopfzeile"/>
            <w:tabs>
              <w:tab w:val="left" w:pos="567"/>
              <w:tab w:val="left" w:pos="1064"/>
              <w:tab w:val="left" w:pos="1474"/>
              <w:tab w:val="left" w:pos="2778"/>
            </w:tabs>
            <w:rPr>
              <w:rFonts w:ascii="NDSFrutiger 45 Light" w:hAnsi="NDSFrutiger 45 Light"/>
              <w:sz w:val="12"/>
            </w:rPr>
          </w:pPr>
        </w:p>
      </w:tc>
    </w:tr>
  </w:tbl>
  <w:p w:rsidR="00374B77" w:rsidRDefault="00374B77" w:rsidP="009E1E7D">
    <w:pPr>
      <w:pStyle w:val="Fuzeile"/>
      <w:jc w:val="center"/>
    </w:pPr>
    <w:r w:rsidRPr="005266E0">
      <w:rPr>
        <w:rFonts w:ascii="NDSFrutiger 45 Light" w:hAnsi="NDSFrutiger 45 Light"/>
        <w:sz w:val="20"/>
        <w:szCs w:val="20"/>
      </w:rPr>
      <w:t xml:space="preserve">- </w:t>
    </w:r>
    <w:r w:rsidRPr="005266E0">
      <w:rPr>
        <w:rFonts w:ascii="NDSFrutiger 45 Light" w:hAnsi="NDSFrutiger 45 Light"/>
        <w:sz w:val="20"/>
        <w:szCs w:val="20"/>
      </w:rPr>
      <w:fldChar w:fldCharType="begin"/>
    </w:r>
    <w:r w:rsidRPr="005266E0">
      <w:rPr>
        <w:rFonts w:ascii="NDSFrutiger 45 Light" w:hAnsi="NDSFrutiger 45 Light"/>
        <w:sz w:val="20"/>
        <w:szCs w:val="20"/>
      </w:rPr>
      <w:instrText xml:space="preserve"> PAGE </w:instrText>
    </w:r>
    <w:r w:rsidRPr="005266E0">
      <w:rPr>
        <w:rFonts w:ascii="NDSFrutiger 45 Light" w:hAnsi="NDSFrutiger 45 Light"/>
        <w:sz w:val="20"/>
        <w:szCs w:val="20"/>
      </w:rPr>
      <w:fldChar w:fldCharType="separate"/>
    </w:r>
    <w:r>
      <w:rPr>
        <w:rFonts w:ascii="NDSFrutiger 45 Light" w:hAnsi="NDSFrutiger 45 Light"/>
        <w:noProof/>
        <w:sz w:val="20"/>
        <w:szCs w:val="20"/>
      </w:rPr>
      <w:t>2</w:t>
    </w:r>
    <w:r w:rsidRPr="005266E0">
      <w:rPr>
        <w:rFonts w:ascii="NDSFrutiger 45 Light" w:hAnsi="NDSFrutiger 45 Light"/>
        <w:sz w:val="20"/>
        <w:szCs w:val="20"/>
      </w:rPr>
      <w:fldChar w:fldCharType="end"/>
    </w:r>
    <w:r w:rsidRPr="005266E0">
      <w:rPr>
        <w:rFonts w:ascii="NDSFrutiger 45 Light" w:hAnsi="NDSFrutiger 45 Light"/>
        <w:sz w:val="20"/>
        <w:szCs w:val="20"/>
      </w:rPr>
      <w:t xml:space="preserve"> </w:t>
    </w:r>
    <w:r>
      <w:rPr>
        <w:rFonts w:ascii="NDSFrutiger 45 Light" w:hAnsi="NDSFrutiger 45 Light"/>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33F" w:rsidRDefault="00AD133F" w:rsidP="00182B6C">
      <w:pPr>
        <w:pStyle w:val="Kopfzeile"/>
      </w:pPr>
      <w:r>
        <w:separator/>
      </w:r>
    </w:p>
  </w:footnote>
  <w:footnote w:type="continuationSeparator" w:id="0">
    <w:p w:rsidR="00AD133F" w:rsidRDefault="00AD133F" w:rsidP="00182B6C">
      <w:pPr>
        <w:pStyle w:val="Kopfzeile"/>
      </w:pPr>
      <w:r>
        <w:continuationSeparator/>
      </w:r>
    </w:p>
  </w:footnote>
  <w:footnote w:id="1">
    <w:p w:rsidR="00374B77" w:rsidRPr="004710C3" w:rsidRDefault="00374B77" w:rsidP="002914B9">
      <w:pPr>
        <w:pStyle w:val="Funotentext"/>
        <w:rPr>
          <w:rFonts w:cs="Arial"/>
        </w:rPr>
      </w:pPr>
      <w:r w:rsidRPr="002914B9">
        <w:rPr>
          <w:rStyle w:val="Funotenzeichen"/>
          <w:rFonts w:cs="Arial"/>
        </w:rPr>
        <w:footnoteRef/>
      </w:r>
      <w:r w:rsidRPr="002914B9">
        <w:rPr>
          <w:rFonts w:cs="Arial"/>
        </w:rPr>
        <w:t xml:space="preserve"> </w:t>
      </w:r>
      <w:r w:rsidRPr="00AF39F6">
        <w:rPr>
          <w:rFonts w:cs="Arial"/>
        </w:rPr>
        <w:t xml:space="preserve">Finanz- und Personalstatistikgesetz </w:t>
      </w:r>
      <w:r>
        <w:rPr>
          <w:rFonts w:cs="Arial"/>
        </w:rPr>
        <w:t xml:space="preserve">(FPStatG) </w:t>
      </w:r>
      <w:r w:rsidRPr="00AF39F6">
        <w:rPr>
          <w:rFonts w:cs="Arial"/>
        </w:rPr>
        <w:t xml:space="preserve">in der Fassung der Bekanntmachung vom 22. Februar 2006 (BGBl. I S. 438), </w:t>
      </w:r>
      <w:r w:rsidRPr="00AF742A">
        <w:rPr>
          <w:rFonts w:cs="Arial"/>
        </w:rPr>
        <w:t>das zuletzt durch Artikel 1 des Gesetzes vom 3. Juni 2021 (BGBl. I S. 1401) geändert worden ist.</w:t>
      </w:r>
    </w:p>
  </w:footnote>
  <w:footnote w:id="2">
    <w:p w:rsidR="00374B77" w:rsidRDefault="00374B77" w:rsidP="006C78D2">
      <w:pPr>
        <w:pStyle w:val="Funotentext"/>
      </w:pPr>
      <w:r>
        <w:rPr>
          <w:rStyle w:val="Funotenzeichen"/>
        </w:rPr>
        <w:footnoteRef/>
      </w:r>
      <w:r>
        <w:t xml:space="preserve"> </w:t>
      </w:r>
      <w:r w:rsidRPr="00AF39F6">
        <w:t xml:space="preserve">Bundesstatistikgesetz </w:t>
      </w:r>
      <w:r>
        <w:t xml:space="preserve">(BStatG) </w:t>
      </w:r>
      <w:r w:rsidRPr="00AF39F6">
        <w:t xml:space="preserve">in der Fassung der Bekanntmachung vom 20. Oktober 2016 (BGBl. I S. 2394), </w:t>
      </w:r>
      <w:r w:rsidRPr="00150EBA">
        <w:rPr>
          <w:rFonts w:cs="Arial"/>
        </w:rPr>
        <w:t>das zuletzt durch Artikel 2 des Gesetzes vom 14. Juni 2021 (BGBl. I S. 1751) geändert worden ist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77" w:rsidRDefault="00374B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77" w:rsidRDefault="00374B77">
    <w:pPr>
      <w:pStyle w:val="Kopfzeile"/>
    </w:pPr>
  </w:p>
  <w:p w:rsidR="00374B77" w:rsidRDefault="00374B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77" w:rsidRDefault="00374B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08D"/>
    <w:multiLevelType w:val="hybridMultilevel"/>
    <w:tmpl w:val="80720678"/>
    <w:lvl w:ilvl="0" w:tplc="6C929FC8">
      <w:start w:val="1"/>
      <w:numFmt w:val="bullet"/>
      <w:lvlText w:val=""/>
      <w:lvlJc w:val="left"/>
      <w:pPr>
        <w:tabs>
          <w:tab w:val="num" w:pos="794"/>
        </w:tabs>
        <w:ind w:left="794" w:hanging="39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115350BF"/>
    <w:multiLevelType w:val="hybridMultilevel"/>
    <w:tmpl w:val="C2DE5C7A"/>
    <w:lvl w:ilvl="0" w:tplc="22FC7B30">
      <w:start w:val="1"/>
      <w:numFmt w:val="low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2091115A"/>
    <w:multiLevelType w:val="hybridMultilevel"/>
    <w:tmpl w:val="57A26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E82B94"/>
    <w:multiLevelType w:val="hybridMultilevel"/>
    <w:tmpl w:val="406AB2B0"/>
    <w:lvl w:ilvl="0" w:tplc="6C929FC8">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D4EDC"/>
    <w:multiLevelType w:val="hybridMultilevel"/>
    <w:tmpl w:val="283E5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466BFC"/>
    <w:multiLevelType w:val="hybridMultilevel"/>
    <w:tmpl w:val="99166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consecutiveHyphenLimit w:val="3"/>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1C3E45"/>
    <w:rsid w:val="000054FB"/>
    <w:rsid w:val="00007301"/>
    <w:rsid w:val="00007721"/>
    <w:rsid w:val="00014565"/>
    <w:rsid w:val="00017E0E"/>
    <w:rsid w:val="000236F6"/>
    <w:rsid w:val="00023D01"/>
    <w:rsid w:val="00042A94"/>
    <w:rsid w:val="00044532"/>
    <w:rsid w:val="00044DE3"/>
    <w:rsid w:val="00053CDD"/>
    <w:rsid w:val="000545E8"/>
    <w:rsid w:val="00061726"/>
    <w:rsid w:val="00063086"/>
    <w:rsid w:val="000656BB"/>
    <w:rsid w:val="00067897"/>
    <w:rsid w:val="000769FA"/>
    <w:rsid w:val="00080654"/>
    <w:rsid w:val="00081871"/>
    <w:rsid w:val="00093DDD"/>
    <w:rsid w:val="000A14F8"/>
    <w:rsid w:val="000A5A92"/>
    <w:rsid w:val="000A7856"/>
    <w:rsid w:val="000B1A83"/>
    <w:rsid w:val="000B2ECF"/>
    <w:rsid w:val="000B5CAC"/>
    <w:rsid w:val="000C17DA"/>
    <w:rsid w:val="000E102C"/>
    <w:rsid w:val="000F2A9C"/>
    <w:rsid w:val="0010755C"/>
    <w:rsid w:val="001118AE"/>
    <w:rsid w:val="00115251"/>
    <w:rsid w:val="0012096B"/>
    <w:rsid w:val="001218EB"/>
    <w:rsid w:val="00127874"/>
    <w:rsid w:val="00132625"/>
    <w:rsid w:val="00134D58"/>
    <w:rsid w:val="00142A99"/>
    <w:rsid w:val="00145EF1"/>
    <w:rsid w:val="00146934"/>
    <w:rsid w:val="00152898"/>
    <w:rsid w:val="00153294"/>
    <w:rsid w:val="00164A07"/>
    <w:rsid w:val="001654A7"/>
    <w:rsid w:val="001670AE"/>
    <w:rsid w:val="0017294A"/>
    <w:rsid w:val="00182910"/>
    <w:rsid w:val="00182B6C"/>
    <w:rsid w:val="00184DE5"/>
    <w:rsid w:val="00195D63"/>
    <w:rsid w:val="00197540"/>
    <w:rsid w:val="001A1DD6"/>
    <w:rsid w:val="001B4F9E"/>
    <w:rsid w:val="001B6243"/>
    <w:rsid w:val="001B7F87"/>
    <w:rsid w:val="001C0837"/>
    <w:rsid w:val="001C384C"/>
    <w:rsid w:val="001C3E45"/>
    <w:rsid w:val="001C5DDD"/>
    <w:rsid w:val="001C7135"/>
    <w:rsid w:val="001D0391"/>
    <w:rsid w:val="001E11E7"/>
    <w:rsid w:val="001E78B3"/>
    <w:rsid w:val="001F1523"/>
    <w:rsid w:val="001F3146"/>
    <w:rsid w:val="00201790"/>
    <w:rsid w:val="00202DC0"/>
    <w:rsid w:val="00205C9B"/>
    <w:rsid w:val="002153C9"/>
    <w:rsid w:val="00220064"/>
    <w:rsid w:val="00222CF9"/>
    <w:rsid w:val="00224E7B"/>
    <w:rsid w:val="00226508"/>
    <w:rsid w:val="00242244"/>
    <w:rsid w:val="00242637"/>
    <w:rsid w:val="0024383A"/>
    <w:rsid w:val="002456FE"/>
    <w:rsid w:val="00247020"/>
    <w:rsid w:val="00254FDA"/>
    <w:rsid w:val="002573FF"/>
    <w:rsid w:val="00261E52"/>
    <w:rsid w:val="00262AE5"/>
    <w:rsid w:val="00272DB1"/>
    <w:rsid w:val="002749D0"/>
    <w:rsid w:val="002853FB"/>
    <w:rsid w:val="00287C34"/>
    <w:rsid w:val="002914B9"/>
    <w:rsid w:val="00291B93"/>
    <w:rsid w:val="002A0144"/>
    <w:rsid w:val="002A34B9"/>
    <w:rsid w:val="002B048B"/>
    <w:rsid w:val="002B64DD"/>
    <w:rsid w:val="002D0BAD"/>
    <w:rsid w:val="002D1976"/>
    <w:rsid w:val="002E4D12"/>
    <w:rsid w:val="002E6D55"/>
    <w:rsid w:val="002E7D2E"/>
    <w:rsid w:val="00314F9C"/>
    <w:rsid w:val="00321F08"/>
    <w:rsid w:val="00321FEB"/>
    <w:rsid w:val="00323BEE"/>
    <w:rsid w:val="003270A5"/>
    <w:rsid w:val="0032721B"/>
    <w:rsid w:val="00331B1C"/>
    <w:rsid w:val="00332694"/>
    <w:rsid w:val="00333EB5"/>
    <w:rsid w:val="00334ECB"/>
    <w:rsid w:val="00342B06"/>
    <w:rsid w:val="00350077"/>
    <w:rsid w:val="00353492"/>
    <w:rsid w:val="0036778B"/>
    <w:rsid w:val="00370AB6"/>
    <w:rsid w:val="00374B77"/>
    <w:rsid w:val="00374D10"/>
    <w:rsid w:val="00380FE5"/>
    <w:rsid w:val="00382312"/>
    <w:rsid w:val="00384E46"/>
    <w:rsid w:val="003856CC"/>
    <w:rsid w:val="00391701"/>
    <w:rsid w:val="003928EF"/>
    <w:rsid w:val="00394557"/>
    <w:rsid w:val="00396B3F"/>
    <w:rsid w:val="00396C93"/>
    <w:rsid w:val="003A25A4"/>
    <w:rsid w:val="003A2DAE"/>
    <w:rsid w:val="003A43DF"/>
    <w:rsid w:val="003B2B3E"/>
    <w:rsid w:val="003B54D8"/>
    <w:rsid w:val="003B6112"/>
    <w:rsid w:val="003C0B78"/>
    <w:rsid w:val="003C0E3B"/>
    <w:rsid w:val="003C1DC3"/>
    <w:rsid w:val="003C34FC"/>
    <w:rsid w:val="003D60FE"/>
    <w:rsid w:val="003D7D54"/>
    <w:rsid w:val="003E5DB4"/>
    <w:rsid w:val="003F311F"/>
    <w:rsid w:val="003F4DCE"/>
    <w:rsid w:val="004005BA"/>
    <w:rsid w:val="00404A1A"/>
    <w:rsid w:val="00405F92"/>
    <w:rsid w:val="004101ED"/>
    <w:rsid w:val="00413AEA"/>
    <w:rsid w:val="00416C95"/>
    <w:rsid w:val="00423322"/>
    <w:rsid w:val="00424426"/>
    <w:rsid w:val="00433899"/>
    <w:rsid w:val="00442F8A"/>
    <w:rsid w:val="00444EB2"/>
    <w:rsid w:val="00446E59"/>
    <w:rsid w:val="00455C3F"/>
    <w:rsid w:val="00456ADD"/>
    <w:rsid w:val="00463760"/>
    <w:rsid w:val="00465ABA"/>
    <w:rsid w:val="004663CC"/>
    <w:rsid w:val="004710C3"/>
    <w:rsid w:val="00471513"/>
    <w:rsid w:val="00472BE0"/>
    <w:rsid w:val="00474DB6"/>
    <w:rsid w:val="00480311"/>
    <w:rsid w:val="00481581"/>
    <w:rsid w:val="00486325"/>
    <w:rsid w:val="00486E52"/>
    <w:rsid w:val="00491EF0"/>
    <w:rsid w:val="004A0946"/>
    <w:rsid w:val="004B73D4"/>
    <w:rsid w:val="004C118B"/>
    <w:rsid w:val="004C1FEE"/>
    <w:rsid w:val="004C7CA5"/>
    <w:rsid w:val="004D16C5"/>
    <w:rsid w:val="004D39B4"/>
    <w:rsid w:val="004E0FD4"/>
    <w:rsid w:val="004E66D9"/>
    <w:rsid w:val="004F1509"/>
    <w:rsid w:val="004F728E"/>
    <w:rsid w:val="0050083A"/>
    <w:rsid w:val="00503166"/>
    <w:rsid w:val="00510EC1"/>
    <w:rsid w:val="0051268E"/>
    <w:rsid w:val="00514E6F"/>
    <w:rsid w:val="005219FD"/>
    <w:rsid w:val="00523DE2"/>
    <w:rsid w:val="0052773C"/>
    <w:rsid w:val="0053119E"/>
    <w:rsid w:val="00531BF8"/>
    <w:rsid w:val="0053365B"/>
    <w:rsid w:val="00540D64"/>
    <w:rsid w:val="00541AD9"/>
    <w:rsid w:val="0054375D"/>
    <w:rsid w:val="005464B6"/>
    <w:rsid w:val="00551EC7"/>
    <w:rsid w:val="005544A5"/>
    <w:rsid w:val="005557EA"/>
    <w:rsid w:val="00560405"/>
    <w:rsid w:val="0056271F"/>
    <w:rsid w:val="00567938"/>
    <w:rsid w:val="00570BBE"/>
    <w:rsid w:val="005752A8"/>
    <w:rsid w:val="005771F1"/>
    <w:rsid w:val="00587F38"/>
    <w:rsid w:val="0059357C"/>
    <w:rsid w:val="00595375"/>
    <w:rsid w:val="005A044E"/>
    <w:rsid w:val="005A35F0"/>
    <w:rsid w:val="005C07DE"/>
    <w:rsid w:val="005C39AD"/>
    <w:rsid w:val="005C5761"/>
    <w:rsid w:val="005D1934"/>
    <w:rsid w:val="005D4323"/>
    <w:rsid w:val="005E0928"/>
    <w:rsid w:val="005E283A"/>
    <w:rsid w:val="005F2114"/>
    <w:rsid w:val="00606EBF"/>
    <w:rsid w:val="00607C59"/>
    <w:rsid w:val="0061054A"/>
    <w:rsid w:val="00614874"/>
    <w:rsid w:val="00615E4B"/>
    <w:rsid w:val="0061639B"/>
    <w:rsid w:val="00623796"/>
    <w:rsid w:val="00631957"/>
    <w:rsid w:val="00656608"/>
    <w:rsid w:val="00657F55"/>
    <w:rsid w:val="00666F53"/>
    <w:rsid w:val="0067149E"/>
    <w:rsid w:val="0067523E"/>
    <w:rsid w:val="00676390"/>
    <w:rsid w:val="0068740C"/>
    <w:rsid w:val="006879A1"/>
    <w:rsid w:val="0069049E"/>
    <w:rsid w:val="0069637A"/>
    <w:rsid w:val="006971E9"/>
    <w:rsid w:val="0069739E"/>
    <w:rsid w:val="006A2E23"/>
    <w:rsid w:val="006A45CF"/>
    <w:rsid w:val="006A70D1"/>
    <w:rsid w:val="006B0359"/>
    <w:rsid w:val="006C32CE"/>
    <w:rsid w:val="006C78D2"/>
    <w:rsid w:val="006D038A"/>
    <w:rsid w:val="006D1C8F"/>
    <w:rsid w:val="006D37D9"/>
    <w:rsid w:val="006D4A93"/>
    <w:rsid w:val="006D738A"/>
    <w:rsid w:val="006E5B69"/>
    <w:rsid w:val="006F0BEB"/>
    <w:rsid w:val="006F387A"/>
    <w:rsid w:val="007004AC"/>
    <w:rsid w:val="00721BDC"/>
    <w:rsid w:val="0072361F"/>
    <w:rsid w:val="007241C8"/>
    <w:rsid w:val="00724A80"/>
    <w:rsid w:val="00725C35"/>
    <w:rsid w:val="007349CC"/>
    <w:rsid w:val="0074190F"/>
    <w:rsid w:val="007438D1"/>
    <w:rsid w:val="00744BD7"/>
    <w:rsid w:val="00746377"/>
    <w:rsid w:val="00752437"/>
    <w:rsid w:val="007617CE"/>
    <w:rsid w:val="00764DE4"/>
    <w:rsid w:val="00776024"/>
    <w:rsid w:val="00776ACF"/>
    <w:rsid w:val="0078278B"/>
    <w:rsid w:val="00786F85"/>
    <w:rsid w:val="00793C70"/>
    <w:rsid w:val="007A60ED"/>
    <w:rsid w:val="007A7C91"/>
    <w:rsid w:val="007B4E25"/>
    <w:rsid w:val="007B4E2C"/>
    <w:rsid w:val="007B5EA6"/>
    <w:rsid w:val="007B76BC"/>
    <w:rsid w:val="007C2770"/>
    <w:rsid w:val="007C5E27"/>
    <w:rsid w:val="007C7E7E"/>
    <w:rsid w:val="007C7EEF"/>
    <w:rsid w:val="007D2257"/>
    <w:rsid w:val="007E0A17"/>
    <w:rsid w:val="007E6888"/>
    <w:rsid w:val="007F536D"/>
    <w:rsid w:val="007F66E9"/>
    <w:rsid w:val="0080107B"/>
    <w:rsid w:val="00801B17"/>
    <w:rsid w:val="008124BE"/>
    <w:rsid w:val="008143C4"/>
    <w:rsid w:val="00823327"/>
    <w:rsid w:val="00824732"/>
    <w:rsid w:val="008451B2"/>
    <w:rsid w:val="00853C45"/>
    <w:rsid w:val="00854272"/>
    <w:rsid w:val="0086469B"/>
    <w:rsid w:val="008649B5"/>
    <w:rsid w:val="0087013F"/>
    <w:rsid w:val="0087061D"/>
    <w:rsid w:val="00872B91"/>
    <w:rsid w:val="00880736"/>
    <w:rsid w:val="0089089C"/>
    <w:rsid w:val="00894C96"/>
    <w:rsid w:val="00896BDD"/>
    <w:rsid w:val="008A1393"/>
    <w:rsid w:val="008A4E1C"/>
    <w:rsid w:val="008A5723"/>
    <w:rsid w:val="008B0AE4"/>
    <w:rsid w:val="008B426D"/>
    <w:rsid w:val="008B672D"/>
    <w:rsid w:val="008C1CE6"/>
    <w:rsid w:val="008D3186"/>
    <w:rsid w:val="008D7895"/>
    <w:rsid w:val="008E4565"/>
    <w:rsid w:val="008F3B3B"/>
    <w:rsid w:val="008F486A"/>
    <w:rsid w:val="008F59A9"/>
    <w:rsid w:val="008F6165"/>
    <w:rsid w:val="00906BEE"/>
    <w:rsid w:val="00920640"/>
    <w:rsid w:val="00931B31"/>
    <w:rsid w:val="00932D6E"/>
    <w:rsid w:val="009412C6"/>
    <w:rsid w:val="00946A97"/>
    <w:rsid w:val="00950285"/>
    <w:rsid w:val="009516AA"/>
    <w:rsid w:val="0095614A"/>
    <w:rsid w:val="00962B82"/>
    <w:rsid w:val="00966FED"/>
    <w:rsid w:val="0097075F"/>
    <w:rsid w:val="00971961"/>
    <w:rsid w:val="00990BD9"/>
    <w:rsid w:val="00995198"/>
    <w:rsid w:val="009963EA"/>
    <w:rsid w:val="009B1812"/>
    <w:rsid w:val="009B1CD7"/>
    <w:rsid w:val="009B4470"/>
    <w:rsid w:val="009D45C9"/>
    <w:rsid w:val="009E1E7D"/>
    <w:rsid w:val="009E2013"/>
    <w:rsid w:val="009F0BB6"/>
    <w:rsid w:val="009F36F9"/>
    <w:rsid w:val="009F5169"/>
    <w:rsid w:val="009F5B80"/>
    <w:rsid w:val="009F6E36"/>
    <w:rsid w:val="00A054DE"/>
    <w:rsid w:val="00A05963"/>
    <w:rsid w:val="00A12F11"/>
    <w:rsid w:val="00A2507F"/>
    <w:rsid w:val="00A31A8F"/>
    <w:rsid w:val="00A33B7C"/>
    <w:rsid w:val="00A3400D"/>
    <w:rsid w:val="00A40B16"/>
    <w:rsid w:val="00A42A1B"/>
    <w:rsid w:val="00A42AB8"/>
    <w:rsid w:val="00A44C25"/>
    <w:rsid w:val="00A5287C"/>
    <w:rsid w:val="00A52ADB"/>
    <w:rsid w:val="00A57302"/>
    <w:rsid w:val="00A57830"/>
    <w:rsid w:val="00A64680"/>
    <w:rsid w:val="00A7138F"/>
    <w:rsid w:val="00A7516E"/>
    <w:rsid w:val="00A76953"/>
    <w:rsid w:val="00A9396B"/>
    <w:rsid w:val="00AA2E0E"/>
    <w:rsid w:val="00AA5A7C"/>
    <w:rsid w:val="00AB1C65"/>
    <w:rsid w:val="00AC6C0A"/>
    <w:rsid w:val="00AC74F4"/>
    <w:rsid w:val="00AC7CA7"/>
    <w:rsid w:val="00AD133F"/>
    <w:rsid w:val="00AD4590"/>
    <w:rsid w:val="00AD5648"/>
    <w:rsid w:val="00AE0844"/>
    <w:rsid w:val="00AE34B2"/>
    <w:rsid w:val="00AE7202"/>
    <w:rsid w:val="00AE7E86"/>
    <w:rsid w:val="00AF3518"/>
    <w:rsid w:val="00AF39F6"/>
    <w:rsid w:val="00AF742A"/>
    <w:rsid w:val="00B00322"/>
    <w:rsid w:val="00B02B4B"/>
    <w:rsid w:val="00B041B0"/>
    <w:rsid w:val="00B101BC"/>
    <w:rsid w:val="00B2494B"/>
    <w:rsid w:val="00B25A98"/>
    <w:rsid w:val="00B315AB"/>
    <w:rsid w:val="00B31DDD"/>
    <w:rsid w:val="00B3260F"/>
    <w:rsid w:val="00B327CF"/>
    <w:rsid w:val="00B55881"/>
    <w:rsid w:val="00B572EF"/>
    <w:rsid w:val="00B632CF"/>
    <w:rsid w:val="00B663E8"/>
    <w:rsid w:val="00B71DCB"/>
    <w:rsid w:val="00B7223B"/>
    <w:rsid w:val="00B76E7E"/>
    <w:rsid w:val="00B80D4D"/>
    <w:rsid w:val="00B81648"/>
    <w:rsid w:val="00B855B2"/>
    <w:rsid w:val="00BA7ACF"/>
    <w:rsid w:val="00BA7ED2"/>
    <w:rsid w:val="00BC2E7E"/>
    <w:rsid w:val="00BC3B03"/>
    <w:rsid w:val="00BD1C7F"/>
    <w:rsid w:val="00BD3CBF"/>
    <w:rsid w:val="00BD4F80"/>
    <w:rsid w:val="00BE271D"/>
    <w:rsid w:val="00BE5690"/>
    <w:rsid w:val="00BE606E"/>
    <w:rsid w:val="00BF2A01"/>
    <w:rsid w:val="00BF78E0"/>
    <w:rsid w:val="00BF7A9D"/>
    <w:rsid w:val="00C032B3"/>
    <w:rsid w:val="00C04678"/>
    <w:rsid w:val="00C07995"/>
    <w:rsid w:val="00C15A06"/>
    <w:rsid w:val="00C217C6"/>
    <w:rsid w:val="00C303C6"/>
    <w:rsid w:val="00C368DC"/>
    <w:rsid w:val="00C524F5"/>
    <w:rsid w:val="00C73EFF"/>
    <w:rsid w:val="00C7474E"/>
    <w:rsid w:val="00C74D65"/>
    <w:rsid w:val="00C74DFC"/>
    <w:rsid w:val="00C761A6"/>
    <w:rsid w:val="00C91FF3"/>
    <w:rsid w:val="00C92192"/>
    <w:rsid w:val="00CA09C4"/>
    <w:rsid w:val="00CA14B2"/>
    <w:rsid w:val="00CC2C81"/>
    <w:rsid w:val="00CC53E6"/>
    <w:rsid w:val="00CC5B8A"/>
    <w:rsid w:val="00CD1C92"/>
    <w:rsid w:val="00CD31C8"/>
    <w:rsid w:val="00CE6A3C"/>
    <w:rsid w:val="00CF2559"/>
    <w:rsid w:val="00D00F1D"/>
    <w:rsid w:val="00D04362"/>
    <w:rsid w:val="00D055D7"/>
    <w:rsid w:val="00D0590C"/>
    <w:rsid w:val="00D06796"/>
    <w:rsid w:val="00D15EEB"/>
    <w:rsid w:val="00D20388"/>
    <w:rsid w:val="00D26537"/>
    <w:rsid w:val="00D338EF"/>
    <w:rsid w:val="00D346E6"/>
    <w:rsid w:val="00D34D7C"/>
    <w:rsid w:val="00D41CA3"/>
    <w:rsid w:val="00D44B0E"/>
    <w:rsid w:val="00D44B71"/>
    <w:rsid w:val="00D46FB7"/>
    <w:rsid w:val="00D47E86"/>
    <w:rsid w:val="00D64F0B"/>
    <w:rsid w:val="00D71973"/>
    <w:rsid w:val="00D762A2"/>
    <w:rsid w:val="00D82F40"/>
    <w:rsid w:val="00D83546"/>
    <w:rsid w:val="00D842B6"/>
    <w:rsid w:val="00D9514B"/>
    <w:rsid w:val="00D9651C"/>
    <w:rsid w:val="00DB1CCA"/>
    <w:rsid w:val="00DB5555"/>
    <w:rsid w:val="00DB63DD"/>
    <w:rsid w:val="00DC2892"/>
    <w:rsid w:val="00DC2FDA"/>
    <w:rsid w:val="00DC48E1"/>
    <w:rsid w:val="00DC4A0D"/>
    <w:rsid w:val="00DC76E9"/>
    <w:rsid w:val="00DD0CA2"/>
    <w:rsid w:val="00DD4383"/>
    <w:rsid w:val="00DD7184"/>
    <w:rsid w:val="00DE34EA"/>
    <w:rsid w:val="00DE5D51"/>
    <w:rsid w:val="00DE65F9"/>
    <w:rsid w:val="00DE6F2B"/>
    <w:rsid w:val="00DF498B"/>
    <w:rsid w:val="00E0430A"/>
    <w:rsid w:val="00E04752"/>
    <w:rsid w:val="00E05049"/>
    <w:rsid w:val="00E12742"/>
    <w:rsid w:val="00E13D9E"/>
    <w:rsid w:val="00E1413A"/>
    <w:rsid w:val="00E1466F"/>
    <w:rsid w:val="00E35194"/>
    <w:rsid w:val="00E42AE6"/>
    <w:rsid w:val="00E44192"/>
    <w:rsid w:val="00E544DD"/>
    <w:rsid w:val="00E6149A"/>
    <w:rsid w:val="00E61859"/>
    <w:rsid w:val="00E642B5"/>
    <w:rsid w:val="00E64A3B"/>
    <w:rsid w:val="00E67203"/>
    <w:rsid w:val="00E719E8"/>
    <w:rsid w:val="00E76A0F"/>
    <w:rsid w:val="00E94100"/>
    <w:rsid w:val="00E9599C"/>
    <w:rsid w:val="00E96105"/>
    <w:rsid w:val="00E97F7E"/>
    <w:rsid w:val="00EA11FE"/>
    <w:rsid w:val="00EA52A3"/>
    <w:rsid w:val="00EC45C1"/>
    <w:rsid w:val="00ED2CE0"/>
    <w:rsid w:val="00ED5BDD"/>
    <w:rsid w:val="00EF0705"/>
    <w:rsid w:val="00EF2F43"/>
    <w:rsid w:val="00EF4C52"/>
    <w:rsid w:val="00EF6EA5"/>
    <w:rsid w:val="00F01A47"/>
    <w:rsid w:val="00F0270F"/>
    <w:rsid w:val="00F0458D"/>
    <w:rsid w:val="00F06085"/>
    <w:rsid w:val="00F103A5"/>
    <w:rsid w:val="00F175C1"/>
    <w:rsid w:val="00F24FFB"/>
    <w:rsid w:val="00F26291"/>
    <w:rsid w:val="00F26DCD"/>
    <w:rsid w:val="00F314BA"/>
    <w:rsid w:val="00F317BB"/>
    <w:rsid w:val="00F54AC9"/>
    <w:rsid w:val="00F5623C"/>
    <w:rsid w:val="00F60D2A"/>
    <w:rsid w:val="00F6173C"/>
    <w:rsid w:val="00F757F0"/>
    <w:rsid w:val="00F761DD"/>
    <w:rsid w:val="00F81361"/>
    <w:rsid w:val="00F87B27"/>
    <w:rsid w:val="00F87DED"/>
    <w:rsid w:val="00F9045E"/>
    <w:rsid w:val="00F95C80"/>
    <w:rsid w:val="00FB4EDA"/>
    <w:rsid w:val="00FB7108"/>
    <w:rsid w:val="00FC5AF4"/>
    <w:rsid w:val="00FD00C7"/>
    <w:rsid w:val="00FD1527"/>
    <w:rsid w:val="00FD6C81"/>
    <w:rsid w:val="00FD74D7"/>
    <w:rsid w:val="00FE034C"/>
    <w:rsid w:val="00FE17F9"/>
    <w:rsid w:val="00FE27BF"/>
    <w:rsid w:val="00FE6811"/>
    <w:rsid w:val="00FF0004"/>
    <w:rsid w:val="00FF3FC4"/>
    <w:rsid w:val="00FF6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39096"/>
  <w15:chartTrackingRefBased/>
  <w15:docId w15:val="{8CF5AAAE-4206-44E6-B1CB-B0D3F98C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B6243"/>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6243"/>
    <w:pPr>
      <w:tabs>
        <w:tab w:val="center" w:pos="4536"/>
        <w:tab w:val="right" w:pos="9072"/>
      </w:tabs>
    </w:pPr>
  </w:style>
  <w:style w:type="paragraph" w:customStyle="1" w:styleId="IZN-Links-11">
    <w:name w:val="IZN-Links-11"/>
    <w:basedOn w:val="Standard"/>
    <w:rsid w:val="001B6243"/>
    <w:rPr>
      <w:rFonts w:ascii="Frutiger Light" w:hAnsi="Frutiger Light"/>
      <w:szCs w:val="20"/>
    </w:rPr>
  </w:style>
  <w:style w:type="paragraph" w:customStyle="1" w:styleId="IZN-Arial-7-Links">
    <w:name w:val="IZN-Arial-7-Links"/>
    <w:basedOn w:val="Standard"/>
    <w:rsid w:val="001B6243"/>
    <w:pPr>
      <w:spacing w:after="220"/>
    </w:pPr>
    <w:rPr>
      <w:sz w:val="14"/>
      <w:szCs w:val="20"/>
    </w:rPr>
  </w:style>
  <w:style w:type="paragraph" w:styleId="Fuzeile">
    <w:name w:val="footer"/>
    <w:basedOn w:val="Standard"/>
    <w:rsid w:val="001B6243"/>
    <w:pPr>
      <w:tabs>
        <w:tab w:val="center" w:pos="4536"/>
        <w:tab w:val="right" w:pos="9072"/>
      </w:tabs>
    </w:pPr>
  </w:style>
  <w:style w:type="character" w:styleId="Hyperlink">
    <w:name w:val="Hyperlink"/>
    <w:rsid w:val="00115251"/>
    <w:rPr>
      <w:color w:val="0000FF"/>
      <w:u w:val="single"/>
    </w:rPr>
  </w:style>
  <w:style w:type="paragraph" w:styleId="Sprechblasentext">
    <w:name w:val="Balloon Text"/>
    <w:basedOn w:val="Standard"/>
    <w:link w:val="SprechblasentextZchn"/>
    <w:rsid w:val="00201790"/>
    <w:rPr>
      <w:rFonts w:ascii="Segoe UI" w:hAnsi="Segoe UI" w:cs="Segoe UI"/>
      <w:sz w:val="18"/>
      <w:szCs w:val="18"/>
    </w:rPr>
  </w:style>
  <w:style w:type="character" w:customStyle="1" w:styleId="SprechblasentextZchn">
    <w:name w:val="Sprechblasentext Zchn"/>
    <w:basedOn w:val="Absatz-Standardschriftart"/>
    <w:link w:val="Sprechblasentext"/>
    <w:rsid w:val="00201790"/>
    <w:rPr>
      <w:rFonts w:ascii="Segoe UI" w:hAnsi="Segoe UI" w:cs="Segoe UI"/>
      <w:sz w:val="18"/>
      <w:szCs w:val="18"/>
    </w:rPr>
  </w:style>
  <w:style w:type="character" w:styleId="Kommentarzeichen">
    <w:name w:val="annotation reference"/>
    <w:basedOn w:val="Absatz-Standardschriftart"/>
    <w:rsid w:val="00531BF8"/>
    <w:rPr>
      <w:sz w:val="16"/>
      <w:szCs w:val="16"/>
    </w:rPr>
  </w:style>
  <w:style w:type="paragraph" w:styleId="Kommentartext">
    <w:name w:val="annotation text"/>
    <w:basedOn w:val="Standard"/>
    <w:link w:val="KommentartextZchn"/>
    <w:rsid w:val="00531BF8"/>
    <w:rPr>
      <w:sz w:val="20"/>
      <w:szCs w:val="20"/>
    </w:rPr>
  </w:style>
  <w:style w:type="character" w:customStyle="1" w:styleId="KommentartextZchn">
    <w:name w:val="Kommentartext Zchn"/>
    <w:basedOn w:val="Absatz-Standardschriftart"/>
    <w:link w:val="Kommentartext"/>
    <w:rsid w:val="00531BF8"/>
    <w:rPr>
      <w:rFonts w:ascii="Arial" w:hAnsi="Arial"/>
    </w:rPr>
  </w:style>
  <w:style w:type="paragraph" w:styleId="Kommentarthema">
    <w:name w:val="annotation subject"/>
    <w:basedOn w:val="Kommentartext"/>
    <w:next w:val="Kommentartext"/>
    <w:link w:val="KommentarthemaZchn"/>
    <w:rsid w:val="00531BF8"/>
    <w:rPr>
      <w:b/>
      <w:bCs/>
    </w:rPr>
  </w:style>
  <w:style w:type="character" w:customStyle="1" w:styleId="KommentarthemaZchn">
    <w:name w:val="Kommentarthema Zchn"/>
    <w:basedOn w:val="KommentartextZchn"/>
    <w:link w:val="Kommentarthema"/>
    <w:rsid w:val="00531BF8"/>
    <w:rPr>
      <w:rFonts w:ascii="Arial" w:hAnsi="Arial"/>
      <w:b/>
      <w:bCs/>
    </w:rPr>
  </w:style>
  <w:style w:type="paragraph" w:styleId="Textkrper">
    <w:name w:val="Body Text"/>
    <w:basedOn w:val="Standard"/>
    <w:link w:val="TextkrperZchn"/>
    <w:rsid w:val="001C3E45"/>
    <w:pPr>
      <w:tabs>
        <w:tab w:val="left" w:pos="0"/>
        <w:tab w:val="left" w:pos="3403"/>
        <w:tab w:val="left" w:pos="6804"/>
        <w:tab w:val="right" w:pos="9639"/>
      </w:tabs>
      <w:jc w:val="both"/>
    </w:pPr>
    <w:rPr>
      <w:rFonts w:ascii="Frutiger Light" w:hAnsi="Frutiger Light"/>
      <w:b/>
      <w:szCs w:val="20"/>
    </w:rPr>
  </w:style>
  <w:style w:type="character" w:customStyle="1" w:styleId="TextkrperZchn">
    <w:name w:val="Textkörper Zchn"/>
    <w:basedOn w:val="Absatz-Standardschriftart"/>
    <w:link w:val="Textkrper"/>
    <w:rsid w:val="001C3E45"/>
    <w:rPr>
      <w:rFonts w:ascii="Frutiger Light" w:hAnsi="Frutiger Light"/>
      <w:b/>
      <w:sz w:val="22"/>
    </w:rPr>
  </w:style>
  <w:style w:type="paragraph" w:styleId="Funotentext">
    <w:name w:val="footnote text"/>
    <w:basedOn w:val="Standard"/>
    <w:link w:val="FunotentextZchn"/>
    <w:rsid w:val="001C3E45"/>
    <w:rPr>
      <w:sz w:val="20"/>
      <w:szCs w:val="20"/>
    </w:rPr>
  </w:style>
  <w:style w:type="character" w:customStyle="1" w:styleId="FunotentextZchn">
    <w:name w:val="Fußnotentext Zchn"/>
    <w:basedOn w:val="Absatz-Standardschriftart"/>
    <w:link w:val="Funotentext"/>
    <w:rsid w:val="001C3E45"/>
    <w:rPr>
      <w:rFonts w:ascii="Arial" w:hAnsi="Arial"/>
    </w:rPr>
  </w:style>
  <w:style w:type="character" w:styleId="Funotenzeichen">
    <w:name w:val="footnote reference"/>
    <w:rsid w:val="001C3E45"/>
    <w:rPr>
      <w:vertAlign w:val="superscript"/>
    </w:rPr>
  </w:style>
  <w:style w:type="paragraph" w:styleId="Listenabsatz">
    <w:name w:val="List Paragraph"/>
    <w:basedOn w:val="Standard"/>
    <w:uiPriority w:val="34"/>
    <w:qFormat/>
    <w:rsid w:val="001C3E45"/>
    <w:pPr>
      <w:ind w:left="720"/>
      <w:contextualSpacing/>
    </w:pPr>
  </w:style>
  <w:style w:type="paragraph" w:styleId="Endnotentext">
    <w:name w:val="endnote text"/>
    <w:basedOn w:val="Standard"/>
    <w:link w:val="EndnotentextZchn"/>
    <w:rsid w:val="002914B9"/>
    <w:rPr>
      <w:sz w:val="20"/>
      <w:szCs w:val="20"/>
    </w:rPr>
  </w:style>
  <w:style w:type="character" w:customStyle="1" w:styleId="EndnotentextZchn">
    <w:name w:val="Endnotentext Zchn"/>
    <w:basedOn w:val="Absatz-Standardschriftart"/>
    <w:link w:val="Endnotentext"/>
    <w:rsid w:val="002914B9"/>
    <w:rPr>
      <w:rFonts w:ascii="Arial" w:hAnsi="Arial"/>
    </w:rPr>
  </w:style>
  <w:style w:type="character" w:styleId="Endnotenzeichen">
    <w:name w:val="endnote reference"/>
    <w:basedOn w:val="Absatz-Standardschriftart"/>
    <w:rsid w:val="002914B9"/>
    <w:rPr>
      <w:vertAlign w:val="superscript"/>
    </w:rPr>
  </w:style>
  <w:style w:type="paragraph" w:customStyle="1" w:styleId="Default">
    <w:name w:val="Default"/>
    <w:rsid w:val="00E35194"/>
    <w:pPr>
      <w:autoSpaceDE w:val="0"/>
      <w:autoSpaceDN w:val="0"/>
      <w:adjustRightInd w:val="0"/>
    </w:pPr>
    <w:rPr>
      <w:rFonts w:ascii="MetaNormalLF-Roman" w:hAnsi="MetaNormalLF-Roman" w:cs="MetaNormalLF-Roman"/>
      <w:color w:val="000000"/>
      <w:sz w:val="24"/>
      <w:szCs w:val="24"/>
    </w:rPr>
  </w:style>
  <w:style w:type="paragraph" w:styleId="NurText">
    <w:name w:val="Plain Text"/>
    <w:basedOn w:val="Standard"/>
    <w:link w:val="NurTextZchn"/>
    <w:uiPriority w:val="99"/>
    <w:unhideWhenUsed/>
    <w:rsid w:val="00D46FB7"/>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46FB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48822">
      <w:bodyDiv w:val="1"/>
      <w:marLeft w:val="0"/>
      <w:marRight w:val="0"/>
      <w:marTop w:val="0"/>
      <w:marBottom w:val="0"/>
      <w:divBdr>
        <w:top w:val="none" w:sz="0" w:space="0" w:color="auto"/>
        <w:left w:val="none" w:sz="0" w:space="0" w:color="auto"/>
        <w:bottom w:val="none" w:sz="0" w:space="0" w:color="auto"/>
        <w:right w:val="none" w:sz="0" w:space="0" w:color="auto"/>
      </w:divBdr>
    </w:div>
    <w:div w:id="459883900">
      <w:bodyDiv w:val="1"/>
      <w:marLeft w:val="0"/>
      <w:marRight w:val="0"/>
      <w:marTop w:val="0"/>
      <w:marBottom w:val="0"/>
      <w:divBdr>
        <w:top w:val="none" w:sz="0" w:space="0" w:color="auto"/>
        <w:left w:val="none" w:sz="0" w:space="0" w:color="auto"/>
        <w:bottom w:val="none" w:sz="0" w:space="0" w:color="auto"/>
        <w:right w:val="none" w:sz="0" w:space="0" w:color="auto"/>
      </w:divBdr>
    </w:div>
    <w:div w:id="780337855">
      <w:bodyDiv w:val="1"/>
      <w:marLeft w:val="0"/>
      <w:marRight w:val="0"/>
      <w:marTop w:val="0"/>
      <w:marBottom w:val="0"/>
      <w:divBdr>
        <w:top w:val="none" w:sz="0" w:space="0" w:color="auto"/>
        <w:left w:val="none" w:sz="0" w:space="0" w:color="auto"/>
        <w:bottom w:val="none" w:sz="0" w:space="0" w:color="auto"/>
        <w:right w:val="none" w:sz="0" w:space="0" w:color="auto"/>
      </w:divBdr>
    </w:div>
    <w:div w:id="1655912712">
      <w:bodyDiv w:val="1"/>
      <w:marLeft w:val="0"/>
      <w:marRight w:val="0"/>
      <w:marTop w:val="0"/>
      <w:marBottom w:val="0"/>
      <w:divBdr>
        <w:top w:val="none" w:sz="0" w:space="0" w:color="auto"/>
        <w:left w:val="none" w:sz="0" w:space="0" w:color="auto"/>
        <w:bottom w:val="none" w:sz="0" w:space="0" w:color="auto"/>
        <w:right w:val="none" w:sz="0" w:space="0" w:color="auto"/>
      </w:divBdr>
    </w:div>
    <w:div w:id="18907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mi.niedersachsen.de/download/3525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atistik.niedersachsen.de/startseite/themen/finanzen_steuern_personal/themenbereich-finanzen-steuern-personal---service-164769.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assenstatistik@statistik.niedersachsen.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chulden-Vermoegen@statistik.niedersachs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tatistik.niedersachsen.de/startseite/themen/finanzen_steuern_personal/themenbereich-finanzen-steuern-personal---service-164769.html" TargetMode="External"/><Relationship Id="rId10" Type="http://schemas.openxmlformats.org/officeDocument/2006/relationships/header" Target="header1.xml"/><Relationship Id="rId19" Type="http://schemas.openxmlformats.org/officeDocument/2006/relationships/hyperlink" Target="mailto:Jahresrechnungsstatistik@statistik.niedersachs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Schulden-Vermoegen@statistik.niedersachsen.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derPatrickLSN\AppData\Local\Packages\Microsoft.MicrosoftEdge_8wekyb3d8bbwe\TempState\Downloads\LSN_Briefbogen_Standard_OB_CMYK-2019%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FC5ED-153E-47EB-9FA0-247B5F2E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LSN_Briefbogen_Standard_OB_CMYK-2019 (5)</Template>
  <TotalTime>0</TotalTime>
  <Pages>14</Pages>
  <Words>4399</Words>
  <Characters>27717</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lpstr>
    </vt:vector>
  </TitlesOfParts>
  <Company>Land Niedersachsen</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Schuder, Patrick (LSN)</dc:creator>
  <cp:keywords/>
  <dc:description/>
  <cp:lastModifiedBy>Brinkmann, Andreas (LSN)</cp:lastModifiedBy>
  <cp:revision>61</cp:revision>
  <cp:lastPrinted>2019-06-13T08:39:00Z</cp:lastPrinted>
  <dcterms:created xsi:type="dcterms:W3CDTF">2020-11-26T11:19:00Z</dcterms:created>
  <dcterms:modified xsi:type="dcterms:W3CDTF">2022-12-05T14:16:00Z</dcterms:modified>
</cp:coreProperties>
</file>